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ATGV 2019 — Berechtigte</w:t>
      </w:r>
    </w:p>
    <w:p>
      <w:r>
        <w:rPr>
          <w:color w:val="555555"/>
          <w:sz w:val="18"/>
        </w:rPr>
        <w:t xml:space="preserve">Auslandstrennungsgeldverordnung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Berechtigt sind</w:t>
      </w:r>
    </w:p>
    <w:p>
      <w:pPr>
        <w:ind w:left="420"/>
      </w:pPr>
      <w:r>
        <w:t xml:space="preserve">1. Bundesbeamte,</w:t>
      </w:r>
    </w:p>
    <w:p>
      <w:pPr>
        <w:ind w:left="420"/>
      </w:pPr>
      <w:r>
        <w:t xml:space="preserve">2. Richter im Bundesdienst,</w:t>
      </w:r>
    </w:p>
    <w:p>
      <w:pPr>
        <w:ind w:left="420"/>
      </w:pPr>
      <w:r>
        <w:t xml:space="preserve">3. Berufssoldaten und Soldaten auf Zeit, sowie</w:t>
      </w:r>
    </w:p>
    <w:p>
      <w:pPr>
        <w:ind w:left="420"/>
      </w:pPr>
      <w:r>
        <w:t xml:space="preserve">4. zum Bund abgeordnete Beamte und Richter.</w:t>
      </w:r>
    </w:p>
    <w:p>
      <w:r>
        <w:t xml:space="preserve">(2) Berechtigt sind nicht</w:t>
      </w:r>
    </w:p>
    <w:p>
      <w:pPr>
        <w:ind w:left="420"/>
      </w:pPr>
      <w:r>
        <w:t xml:space="preserve">1. im Grenzverkehr tätige Beamte bei dienstlichen Maßnahmen nach § 2 Absatz 1 im Bereich ausländischer Lokalgrenzbehörden, zwischen solchen Bereichen und zwischen diesen und dem Inland,</w:t>
      </w:r>
    </w:p>
    <w:p>
      <w:pPr>
        <w:ind w:left="420"/>
      </w:pPr>
      <w:r>
        <w:t xml:space="preserve">2. Ehrenbeamte und</w:t>
      </w:r>
    </w:p>
    <w:p>
      <w:pPr>
        <w:ind w:left="420"/>
      </w:pPr>
      <w:r>
        <w:t xml:space="preserve">3. ehrenamtliche Richter.</w:t>
      </w:r>
    </w:p>
    <w:p>
      <w:r>
        <w:rPr>
          <w:color w:val="555555"/>
          <w:sz w:val="17"/>
        </w:rPr>
        <w:t xml:space="preserve">Zitiervorschlag: § 3 ATGV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https://recht.nulegal.eu/gesetze/ATGV%202019/3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