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ATGV 2019 — Übergangsregelungen</w:t>
      </w:r>
    </w:p>
    <w:p>
      <w:r>
        <w:rPr>
          <w:color w:val="555555"/>
          <w:sz w:val="18"/>
        </w:rPr>
        <w:t xml:space="preserve">Auslandstrennungsgeldverordnung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Auslandstrennungsgeld für dienstliche Maßnahmen nach § 2 Absatz 1, die bis zum Tag vor dem Inkrafttreten dieser Verordnung begonnen haben, wird nach den bisherigen Vorschriften gewährt oder weiter gewährt.</w:t>
      </w:r>
    </w:p>
    <w:p>
      <w:r>
        <w:rPr>
          <w:color w:val="555555"/>
          <w:sz w:val="17"/>
        </w:rPr>
        <w:t xml:space="preserve">Zitiervorschlag: § 16 ATGV 2019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https://recht.nulegal.eu/gesetze/ATGV%202019/16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