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ATGV 2019 — Vorwegumzug</w:t>
      </w:r>
    </w:p>
    <w:p>
      <w:r>
        <w:rPr>
          <w:color w:val="555555"/>
          <w:sz w:val="18"/>
        </w:rPr>
        <w:t xml:space="preserve">Auslandstrennungsgeldverordnung</w:t>
      </w:r>
    </w:p>
    <w:p>
      <w:r>
        <w:rPr>
          <w:color w:val="555555"/>
          <w:sz w:val="18"/>
        </w:rPr>
        <w:t xml:space="preserve">Stand: 01.06.2020 (konsolidierte Textfassung, kein amtliches Inkrafttretensdatum)</w:t>
      </w:r>
    </w:p>
    <w:p>
      <w:r>
        <w:t xml:space="preserve">(1) Wird ein Umzug, für den eine uneingeschränkte Umzugskostenvergütung zugesagt ist, aus Anlass einer Maßnahme nach § 2 Absatz 1 vor deren Wirksamwerden durchgeführt, wird Auslandstrennungsgeld in entsprechender Anwendung der §§ 7, 8 und 9 Absatz 1 Nummer 2 ab dem Tag nach dem Eintreffen der zur häuslichen Gemeinschaft gehörenden Personen am neuen Dienst- oder Wohnort bis zum Ablauf des Tages der Beendigung der Dienstantrittsreise der berechtigten Person, längstens jedoch für sechs Monate gewährt.</w:t>
      </w:r>
    </w:p>
    <w:p>
      <w:r>
        <w:t xml:space="preserve">(2) Das Auslandstrennungstagegeld nach § 7 wird für die berechtigte Person am bisherigen Dienst- oder Wohnort berechnet. Das Auslandstrennungsübernachtungsgeld nach § 8 für eine Unterkunft am neuen Dienst- oder Wohnort im Ausland umfasst alle unmittelbar mit der Nutzung zusammenhängenden Nebenkosten. Der auslandstrennungsbedingte Mehraufwand nach § 9 Absatz 1 Nummer 2 wird berechnet nach dem künftigen Auslandszuschlag der berechtigten Person am neuen Dienst- oder Wohnort im Ausland.</w:t>
      </w:r>
    </w:p>
    <w:p>
      <w:r>
        <w:rPr>
          <w:color w:val="555555"/>
          <w:sz w:val="17"/>
        </w:rPr>
        <w:t xml:space="preserve">Zitiervorschlag: § 10 ATGV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https://recht.nulegal.eu/gesetze/ATGV%202019/10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