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ATDG — Berichtigung, Löschung und Einschränkung der Verarbeitung von Daten</w:t>
      </w:r>
    </w:p>
    <w:p>
      <w:r>
        <w:rPr>
          <w:color w:val="555555"/>
          <w:sz w:val="18"/>
        </w:rPr>
        <w:t xml:space="preserve">Antiterrordateigesetz</w:t>
      </w:r>
    </w:p>
    <w:p>
      <w:r>
        <w:rPr>
          <w:color w:val="555555"/>
          <w:sz w:val="18"/>
        </w:rPr>
        <w:t xml:space="preserve">Stand: 02.12.2019 (konsolidierte Textfassung, kein amtliches Inkrafttretensdatum)</w:t>
      </w:r>
    </w:p>
    <w:p>
      <w:r>
        <w:t xml:space="preserve">(1) Unrichtige Daten sind zu berichtigen.</w:t>
      </w:r>
    </w:p>
    <w:p>
      <w:r>
        <w:t xml:space="preserve">(2) Personenbezogene Daten sind zu löschen, wenn ihre Speicherung unzulässig ist oder ihre Kenntnis für die Aufklärung oder Bekämpfung des internationalen Terrorismus nicht mehr erforderlich ist. Sie sind spätestens zu löschen, wenn die zugehörigen Erkenntnisse nach den für die beteiligten Behörden jeweils geltenden Rechtsvorschriften zu löschen sind.</w:t>
      </w:r>
    </w:p>
    <w:p>
      <w:r>
        <w:t xml:space="preserve">(3) An die Stelle einer Löschung tritt eine Einschränkung der Verarbeitung, wenn Grund zu der Annahme besteht, dass durch die Löschung schutzwürdige Interessen eines Betroffenen beeinträchtigt würden. In der Verarbeitung eingeschränkte Daten dürfen nur für den Zweck abgerufen und genutzt werden, für den die Löschung unterblieben ist; sie dürfen auch abgerufen und genutzt werden, soweit dies zum Schutz besonders hochwertiger Rechtsgüter unerlässlich ist und die Aufklärung des Sachverhalts ansonsten aussichtslos oder wesentlich erschwert wäre oder der Betroffene einwilligt.</w:t>
      </w:r>
    </w:p>
    <w:p>
      <w:r>
        <w:t xml:space="preserve">(4) Die eingebenden Behörden prüfen nach den Fristen, die für die Erkenntnisdaten gelten, und bei der Einzelfallbearbeitung, ob personenbezogene Daten zu berichtigen oder zu löschen sind.</w:t>
      </w:r>
    </w:p>
    <w:p>
      <w:r>
        <w:rPr>
          <w:color w:val="555555"/>
          <w:sz w:val="17"/>
        </w:rPr>
        <w:t xml:space="preserve">Zitiervorschlag: § 11 ATDG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https://recht.nulegal.eu/gesetze/ATDG/11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