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ATA-OTA-G — Ruhen der Erlaubnis zum Führen der Berufsbezeichnung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Das Ruhen der Erlaubnis zum Führen der Berufsbezeichnung kann angeordnet werden, wenn</w:t>
      </w:r>
    </w:p>
    <w:p>
      <w:pPr>
        <w:ind w:left="420"/>
      </w:pPr>
      <w:r>
        <w:t xml:space="preserve">1. gegen die Inhaberin oder den Inhaber einer Erlaubnis ein Strafverfahren eingeleitet worden ist wegen des Verdachts auf Begehung einer Straftat, aus der sich die Unzuverlässigkeit zur Berufsausübung ergeben würde, oder</w:t>
      </w:r>
    </w:p>
    <w:p>
      <w:pPr>
        <w:ind w:left="420"/>
      </w:pPr>
      <w:r>
        <w:t xml:space="preserve">2. die Inhaberin oder der Inhaber der Erlaubnis in gesundheitlicher Hinsicht vorübergehend nicht mehr zur Ausübung des Berufs geeignet ist oder</w:t>
      </w:r>
    </w:p>
    <w:p>
      <w:pPr>
        <w:ind w:left="420"/>
      </w:pPr>
      <w:r>
        <w:t xml:space="preserve">3. sich erweist, dass die Inhaberin oder der Inhaber der Erlaubnis nicht über die Kenntnisse der deutschen Sprache verfügt, die für die Ausübung des Berufs in Deutschland erforderlich sind.</w:t>
      </w:r>
    </w:p>
    <w:p>
      <w:r>
        <w:t xml:space="preserve">(2) Die Anordnung des Ruhens der Erlaubnis ist aufzuheben, sobald ihre Voraussetzungen nicht mehr vorliegen.</w:t>
      </w:r>
    </w:p>
    <w:p>
      <w:r>
        <w:rPr>
          <w:color w:val="555555"/>
          <w:sz w:val="17"/>
        </w:rPr>
        <w:t xml:space="preserve">Zitiervorschlag: § 5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