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ATA-OTA-G — Gleichwertigkeit der Berufsqualifikation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Eine Berufsqualifikation, die außerhalb des Geltungsbereichs dieses Gesetzes abgeschlossen worden ist, ist gleichwertig mit der in diesem Gesetz geregelten Ausbildung zur Anästhesietechnischen Assistentin oder zum Anästhesietechnischen Assistenten oder mit der in diesem Gesetz geregelten Ausbildung zur Operationstechnischen Assistentin oder zum Operationstechnischen Assistenten, wenn</w:t>
      </w:r>
    </w:p>
    <w:p>
      <w:pPr>
        <w:ind w:left="420"/>
      </w:pPr>
      <w:r>
        <w:t xml:space="preserve">1. sie keine wesentlichen Unterschiede aufweist gegenüber der in Abschnitt 2 und in der Ausbildungs- und Prüfungsverordnung nach § 66 geregelten Ausbildung oder</w:t>
      </w:r>
    </w:p>
    <w:p>
      <w:pPr>
        <w:ind w:left="420"/>
      </w:pPr>
      <w:r>
        <w:t xml:space="preserve">2. wesentliche Unterschiede vollständig durch den Nachweis von Kenntnissen, Fähigkeiten und Kompetenzen aufgrund von Berufserfahrung oder von lebenslangem Lernen ausgeglichen werden.</w:t>
      </w:r>
    </w:p>
    <w:p>
      <w:r>
        <w:rPr>
          <w:color w:val="555555"/>
          <w:sz w:val="17"/>
        </w:rPr>
        <w:t xml:space="preserve">Zitiervorschlag: § 43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