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ATA-OTA-G — Rücknahme der Erlaubnis zum Führen der Berufsbezeichnung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Erlaubnis zum Führen der Berufsbezeichnung ist zurückzunehmen, wenn</w:t>
      </w:r>
    </w:p>
    <w:p>
      <w:pPr>
        <w:ind w:left="420"/>
      </w:pPr>
      <w:r>
        <w:t xml:space="preserve">1. bei der Erteilung</w:t>
      </w:r>
    </w:p>
    <w:p>
      <w:pPr>
        <w:ind w:left="780"/>
      </w:pPr>
      <w:r>
        <w:t xml:space="preserve">a) der Erlaubnis zum Führen der Berufsbezeichnung „Anästhesietechnische Assistentin“ oder „Anästhesietechnischer Assistent“ die Ausbildung zur Anästhesietechnischen Assistentin oder zum Anästhesietechnischen Assistenten nicht abgeschlossen gewesen ist oder die Voraussetzungen für die Anerkennung der außerhalb des Geltungsbereichs dieses Gesetzes erworbenen Berufsqualifikation nicht vorgelegen haben oder</w:t>
      </w:r>
    </w:p>
    <w:p>
      <w:pPr>
        <w:ind w:left="780"/>
      </w:pPr>
      <w:r>
        <w:t xml:space="preserve">b) der Erlaubnis zum Führen der Berufsbezeichnung „Operationstechnische Assistentin“ oder „Operationstechnischer Assistent“ die Ausbildung zur Operationstechnischen Assistentin oder zum Operationstechnischen Assistenten nicht abgeschlossen gewesen ist oder die Voraussetzungen für die Anerkennung der außerhalb des Geltungsbereichs dieses Gesetzes erworbenen Berufsqualifikation nicht vorgelegen haben oder</w:t>
      </w:r>
    </w:p>
    <w:p>
      <w:pPr>
        <w:ind w:left="420"/>
      </w:pPr>
      <w:r>
        <w:t xml:space="preserve">2. die antragstellende Person sich bis zur Erteilung der Erlaubnis eines Verhaltens schuldig gemacht hat, aus dem sich ihre Unzuverlässigkeit zur Berufsausübung ergibt.</w:t>
      </w:r>
    </w:p>
    <w:p>
      <w:r>
        <w:t xml:space="preserve">(2) Die Erlaubnis kann zurückgenommen werden, wenn bei ihrer Erteilung die antragstellende Person in gesundheitlicher Hinsicht nicht zur Berufsausübung geeignet gewesen ist.</w:t>
      </w:r>
    </w:p>
    <w:p>
      <w:r>
        <w:t xml:space="preserve">(3) Im Übrigen bleiben die dem § 48 des Verwaltungsverfahrensgesetzes entsprechenden landesgesetzlichen Vorschriften unberührt.</w:t>
      </w:r>
    </w:p>
    <w:p>
      <w:r>
        <w:rPr>
          <w:color w:val="555555"/>
          <w:sz w:val="17"/>
        </w:rPr>
        <w:t xml:space="preserve">Zitiervorschlag: § 3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