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ATA-OTA-G — Pflichten des Ausbildungsträgers</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Der Ausbildungsträger hat die Ausbildung in einer durch ihren Zweck gebotenen Form planmäßig sowie zeitlich und sachlich gegliedert so durchzuführen, dass das Ausbildungsziel in der vorgesehenen Zeit erreicht werden kann.</w:t>
      </w:r>
    </w:p>
    <w:p>
      <w:r>
        <w:t xml:space="preserve">(2) Der Ausbildungsträger ist verpflichtet, die Vergütung während der gesamten Ausbildung zu zahlen.</w:t>
      </w:r>
    </w:p>
    <w:p>
      <w:r>
        <w:t xml:space="preserve">(3) Der Ausbildungsträger hat der oder dem Auszubildenden die Ausbildungsmittel kostenlos zur Verfügung zu stellen, die zur Ausbildung und zum Ablegen der staatlichen Prüfung erforderlich sind. Zu den Ausbildungsmitteln gehören insbesondere Fachliteratur, Zugang zu Datenbanken, Instrumente und Apparate.</w:t>
      </w:r>
    </w:p>
    <w:p>
      <w:r>
        <w:rPr>
          <w:color w:val="555555"/>
          <w:sz w:val="17"/>
        </w:rPr>
        <w:t xml:space="preserve">Zitiervorschlag: § 27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