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ATA-OTA-APrV — Ziel und Inhalt des Anpassungslehrgangs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Ziel des Anpassungslehrgangs ist es, die von der zuständigen Behörde festgestellten wesentlichen Unterschiede auszugleichen (Lehrgangsziel).</w:t>
      </w:r>
    </w:p>
    <w:p>
      <w:r>
        <w:t xml:space="preserve">(2) Die zuständige Behörde legt die Dauer und die Inhalte des Anpassungslehrgangs so fest, dass das Lehrgangsziel erreicht werden kann.</w:t>
      </w:r>
    </w:p>
    <w:p>
      <w:r>
        <w:t xml:space="preserve">(3) Für die Inhalte und die Durchführung des Anpassungslehrgangs können die Länder gemeinsame Empfehlungen abgeben.</w:t>
      </w:r>
    </w:p>
    <w:p>
      <w:r>
        <w:rPr>
          <w:color w:val="555555"/>
          <w:sz w:val="17"/>
        </w:rPr>
        <w:t xml:space="preserve">Zitiervorschlag: § 63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