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ATA-OTA-APrV — Nachteilsausgleich</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Einer Prüfungskandidatin oder einem Prüfungskandidaten mit Behinderung oder Beeinträchtigung wird bei der Durchführung der staatlichen Prüfung auf Antrag ein individueller Nachteilsausgleich gewährt.</w:t>
      </w:r>
    </w:p>
    <w:p>
      <w:r>
        <w:t xml:space="preserve">(2) Der Antrag auf Nachteilsausgleich ist über die Schule an die zuständige Behörde zu stellen. Die Schule leitet den Antrag gegebenenfalls zusammen mit einer Stellungnahme an die zuständige Behörde weiter. Der Antrag erfolgt schriftlich oder elektronisch.</w:t>
      </w:r>
    </w:p>
    <w:p>
      <w:r>
        <w:t xml:space="preserve">(3) Die zuständige Behörde kann von der antragstellenden Person ein ärztliches Attest oder andere geeignete Unterlagen verlangen, aus denen die leistungsbeeinträchtigende Auswirkung der Beeinträchtigung oder Behinderung hervorgeht. Bei Bedarf kann ein amtsärztliches Attest verlangt werden.</w:t>
      </w:r>
    </w:p>
    <w:p>
      <w:r>
        <w:t xml:space="preserve">(4) Über die Gewährung des Antrags auf Nachteilsausgleich entscheidet die zuständige Behörde. Bei ihrer Entscheidung berücksichtigt sie die besonderen Belange von Prüfungskandidatinnen und Prüfungskandidaten mit Behinderung oder mit Beeinträchtigung, um deren Chancengleichheit bei der Durchführung der staatlichen Prüfung zu wahren.</w:t>
      </w:r>
    </w:p>
    <w:p>
      <w:r>
        <w:t xml:space="preserve">(5) Gewährt die zuständige Behörde den Nachteilsausgleich, so bestimmt sie individuell, in welcher geänderten Form die Prüfungsleistung zu erbringen ist. Zur Festlegung der geänderten Form kann auch eine Verlängerung der Bearbeitungszeit gehören. Die fachlichen Anforderungen an die staatliche Prüfung dürfen durch den Nachteilsausgleich nicht verändert werden.</w:t>
      </w:r>
    </w:p>
    <w:p>
      <w:r>
        <w:t xml:space="preserve">(6) Ihre Entscheidung gibt die zuständige Behörde rechtzeitig und in geeigneter Weise der Prüfungskandidatin oder dem Prüfungskandidaten bekannt.</w:t>
      </w:r>
    </w:p>
    <w:p>
      <w:r>
        <w:rPr>
          <w:color w:val="555555"/>
          <w:sz w:val="17"/>
        </w:rPr>
        <w:t xml:space="preserve">Zitiervorschlag: § 21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