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AStG — Zwischengeschaltete Gesellschaften</w:t>
      </w:r>
    </w:p>
    <w:p>
      <w:r>
        <w:rPr>
          <w:color w:val="555555"/>
          <w:sz w:val="18"/>
        </w:rPr>
        <w:t xml:space="preserve">Außensteuergesetz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Sind natürliche Personen, die in den letzten zehn Jahren vor dem Ende ihrer unbeschränkten Steuerpflicht nach § 1 Abs. 1 Satz 1 des Einkommensteuergesetzes als Deutscher insgesamt mindestens fünf Jahre unbeschränkt einkommensteuerpflichtig waren und die Voraussetzungen des § 2 Abs. 1 Satz 1 Nr. 1 erfüllen (Person im Sinne des § 2), allein oder zusammen mit unbeschränkt Steuerpflichtigen an einer ausländischen Gesellschaft beteiligt, so sind Einkünfte, mit denen diese Personen bei unbeschränkter Steuerpflicht nach den §§ 7 bis 13 steuerpflichtig wären und die nicht ausländische Einkünfte im Sinne des § 34d des Einkommensteuergesetzes sind, diesen Personen zuzurechnen. Liegen die Voraussetzungen des Satzes 1 vor, so sind die Vermögenswerte der ausländischen Gesellschaft, deren Erträge bei unbeschränkter Steuerpflicht nicht ausländische Einkünfte im Sinne des § § 34d des Einkommensteuergesetzes wären, im Fall des § 4 dem Erwerb entsprechend der Beteiligung zuzurechnen.</w:t>
      </w:r>
    </w:p>
    <w:p>
      <w:r>
        <w:t xml:space="preserve">(2) Das Vermögen, das den nach Absatz 1 einer Person zuzurechnenden Einkünften zugrunde liegt, haftet für die von dieser Person für diese Einkünfte geschuldeten Steuern.</w:t>
      </w:r>
    </w:p>
    <w:p>
      <w:r>
        <w:t xml:space="preserve">(3) § 18 findet entsprechende Anwendung.</w:t>
      </w:r>
    </w:p>
    <w:p>
      <w:r>
        <w:rPr>
          <w:color w:val="555555"/>
          <w:sz w:val="17"/>
        </w:rPr>
        <w:t xml:space="preserve">Zitiervorschlag: § 5 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