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AStG — Anwendungsvorschriften</w:t>
      </w:r>
    </w:p>
    <w:p>
      <w:r>
        <w:rPr>
          <w:color w:val="555555"/>
          <w:sz w:val="18"/>
        </w:rPr>
        <w:t xml:space="preserve">Außensteuergesetz</w:t>
      </w:r>
    </w:p>
    <w:p>
      <w:r>
        <w:rPr>
          <w:color w:val="555555"/>
          <w:sz w:val="18"/>
        </w:rPr>
        <w:t xml:space="preserve">Stand: 03.01.2026 (konsolidierte Textfassung, kein amtliches Inkrafttretensdatum)</w:t>
      </w:r>
    </w:p>
    <w:p>
      <w:r>
        <w:t xml:space="preserve">(1) Diese Fassung des Gesetzes gilt, sofern in den folgenden Absätzen nichts anderes bestimmt ist,</w:t>
      </w:r>
    </w:p>
    <w:p>
      <w:pPr>
        <w:ind w:left="420"/>
      </w:pPr>
      <w:r>
        <w:t xml:space="preserve">1. für die Einkommen- und Körperschaftsteuer erstmals für den Veranlagungszeitraum 2022,</w:t>
      </w:r>
    </w:p>
    <w:p>
      <w:pPr>
        <w:ind w:left="420"/>
      </w:pPr>
      <w:r>
        <w:t xml:space="preserve">2. für die Gewerbesteuer erstmals für den Erhebungszeitraum 2022,</w:t>
      </w:r>
    </w:p>
    <w:p>
      <w:pPr>
        <w:ind w:left="420"/>
      </w:pPr>
      <w:r>
        <w:t xml:space="preserve">3. für die Erbschaftsteuer auf Erwerbe, bei denen die Steuerschuld nach dem Inkrafttreten dieses Gesetzes entstanden ist.</w:t>
      </w:r>
    </w:p>
    <w:p>
      <w:r>
        <w:t xml:space="preserve">(1a) § 1 Absatz 3d und 3e in der Fassung des Artikels 10 des Gesetzes vom 27. März 2024 (BGBl. 2024 I Nr. 108) ist erstmals anzuwenden</w:t>
      </w:r>
    </w:p>
    <w:p>
      <w:pPr>
        <w:ind w:left="420"/>
      </w:pPr>
      <w:r>
        <w:t xml:space="preserve">1. für die Einkommensteuer und für die Körperschaftsteuer für den Veranlagungszeitraum 2024;</w:t>
      </w:r>
    </w:p>
    <w:p>
      <w:pPr>
        <w:ind w:left="420"/>
      </w:pPr>
      <w:r>
        <w:t xml:space="preserve">2. für die Gewerbesteuer für den Erhebungszeitraum 2024.</w:t>
      </w:r>
    </w:p>
    <w:p>
      <w:r>
        <w:t xml:space="preserve">Dabei ist § 1 Absatz 3d nicht auf bis zum 31. Dezember 2024 entstehende Aufwendungen anzuwenden, die auf Finanzierungsbeziehungen beruhen, die vor dem 1. Januar 2024 zivilrechtlich vereinbart wurden und deren tatsächliche Durchführung vor dem 1. Januar 2024 begonnen hat. Werden betroffene Finanzierungsbeziehungen nach dem 31. Dezember 2023 und vor dem 1. Januar 2025 wesentlich geändert, ist § 1 Absatz 3d nicht auf Aufwendungen anzuwenden, die vor der wesentlichen Änderung entstehen.</w:t>
      </w:r>
    </w:p>
    <w:p>
      <w:r>
        <w:t xml:space="preserve">(2) § 1 Absatz 2 in der Fassung des Artikels 5 des Gesetzes vom 25. Juni 2021 (BGBl. I S. 2035) ist für Zwecke der Anwendung des § 4k Absatz 6 des Einkommensteuergesetzes in der Fassung des Artikels 1 des Gesetzes vom 25. Juni 2021 (BGBl. I S. 2035) bereits für den Veranlagungs- und Erhebungszeitraum 2020 anzuwenden.</w:t>
      </w:r>
    </w:p>
    <w:p>
      <w:r>
        <w:t xml:space="preserve">(3) Wurde ein Tatbestand des § 6 Absatz 1 in einer bis zum 30. Juni 2021 geltenden Fassung vor dem 1. Januar 2022 verwirklicht, ist § 6 in der am 30. Juni 2021 geltenden Fassung für die Abwicklung dieses Falles über den 31. Dezember 2021 hinaus anzuwenden. Abweichend von Satz 1 gilt das Folgende:</w:t>
      </w:r>
    </w:p>
    <w:p>
      <w:pPr>
        <w:ind w:left="420"/>
      </w:pPr>
      <w:r>
        <w:t xml:space="preserve">1. Minderungen des Vermögenszuwachses im Sinne des § 6 Absatz 6 in der am 30. Juni 2021 geltenden Fassung auf Veräußerungen nach dem 24. März 2021 sind nicht mehr zu berücksichtigen.</w:t>
      </w:r>
    </w:p>
    <w:p>
      <w:pPr>
        <w:ind w:left="420"/>
      </w:pPr>
      <w:r>
        <w:t xml:space="preserve">2. Stundungen nach § 6 Absatz 4 oder 5 in einer bis zum 30. Juni 2021 geltenden Fassung sind auch zu widerrufen, soweit Gewinnausschüttungen erfolgen oder eine Einlagenrückgewähr erfolgt und soweit deren gemeiner Wert insgesamt mehr als ein Viertel des gemeinen Werts des Anteils zum Zeitpunkt der Verwirklichung des Tatbestands im Sinne des Satzes 1 beträgt; § 6 Absatz 7 Satz 1 und 2 in der am 30. Juni 2021 geltenden Fassung ist entsprechend anzuwenden.</w:t>
      </w:r>
    </w:p>
    <w:p>
      <w:pPr>
        <w:ind w:left="420"/>
      </w:pPr>
      <w:r>
        <w:t xml:space="preserve">3. § 6 Absatz 3 in einer bis zum 30. Juni 2021 geltenden Fassung ist mit der Maßgabe anzuwenden, dass der Steueranspruch auch nicht entfällt, soweit Gewinnausschüttungen erfolgen oder eine Einlagenrückgewähr erfolgt und soweit deren gemeiner Wert insgesamt mehr als ein Viertel des gemeinen Werts des Anteils zum Zeitpunkt der Verwirklichung des Tatbestands im Sinne des Satzes 1 beträgt.</w:t>
      </w:r>
    </w:p>
    <w:p>
      <w:r>
        <w:t xml:space="preserve">Satz 2 Nummer 2 und 3 gilt nur für Gewinnausschüttungen oder eine Einlagenrückgewähr, die nach dem 16. August 2023 erfolgen.</w:t>
      </w:r>
    </w:p>
    <w:p>
      <w:r>
        <w:t xml:space="preserve">(4) Die §§ 7 bis 10, 12, 13, 16 bis 18 und 20 in der am 1. Juli 2021 geltenden Fassung und § 15 in der am 21. Dezember 2022 geltenden Fassung sind erstmals anzuwenden</w:t>
      </w:r>
    </w:p>
    <w:p>
      <w:pPr>
        <w:ind w:left="420"/>
      </w:pPr>
      <w:r>
        <w:t xml:space="preserve">1. für die Einkommen- und Körperschaftsteuer für den Veranlagungszeitraum,</w:t>
      </w:r>
    </w:p>
    <w:p>
      <w:pPr>
        <w:ind w:left="420"/>
      </w:pPr>
      <w:r>
        <w:t xml:space="preserve">2. für die Gewerbesteuer für den Erhebungszeitraum,</w:t>
      </w:r>
    </w:p>
    <w:p>
      <w:r>
        <w:t xml:space="preserve">für den Zwischeneinkünfte hinzuzurechnen sind, die in einem Wirtschaftsjahr der Zwischengesellschaft oder der Betriebsstätte entstanden sind, das nach dem 31. Dezember 2021 beginnt; § 11 in der am 6. Dezember 2024 geltenden Fassung ist erstmals für die Einkommen- und Körperschaftsteuer für den Veranlagungszeitraum 2022 und für die Gewerbesteuer für den Erhebungszeitraum 2022 anzuwenden. Verluste, die für Veranlagungszeiträume oder Erhebungszeiträume vor dem 1. Januar 2022 bei Einkünften entstanden sind, für die die ausländische Gesellschaft Zwischengesellschaft ist, können in entsprechender Anwendung des § 10d des Einkommensteuergesetzes, soweit sie die nach § 9 außer Ansatz zu lassenden Einkünfte übersteigen, abgezogen werden. Für Steuern der ausländischen Gesellschaft für Wirtschaftsjahre, die vor dem 1. Januar 2022 enden, gelten § 10 Absatz 1 Satz 2, § 10 Absatz 3 Satz 6 und § 12 Absatz 1 in der am 30. Juni 2021 geltenden Fassung fort. Als Anfangsbestand des Hinzurechnungskorrekturvolumens zum 31. Dezember 2021 wird die Summe der Hinzurechnungsbeträge erfasst, die beim Steuerpflichtigen gemäß § 10 Absatz 2 in der am 30. Juni 2021 geltenden Fassung für die Veranlagungszeiträume 2015 bis 2022 der Besteuerung unterliegen, soweit sie nicht für eine Steuerbefreiung nach § 3 Nummer 41 des Einkommensteuergesetzes in der am 30. Juni 2021 geltenden Fassung zu berücksichtigen sind. Soweit Verluste im Sinne des Satzes 2 durch Anwendung des § 14 in der am 30. Juni 2021 geltenden Fassung einer anderen Gesellschaft zugerechnet worden und noch nicht verrechnet worden sind, können sie auf bis zum 31. Juli 2023 zu stellenden Antrag denjenigen nachgeordneten Zwischengesellschaften im Sinne des § 14 in der am 30. Juni 2021 geltenden Fassung zugeordnet werden, durch deren Tätigkeit sie wirtschaftlich verursacht sind; bei mehreren Steuerpflichtigen ist der Antrag einheitlich zu stellen.</w:t>
      </w:r>
    </w:p>
    <w:p>
      <w:r>
        <w:t xml:space="preserve">(5) Für Zwischeneinkünfte, die in einem Wirtschaftsjahr der Zwischengesellschaft oder der Betriebsstätte entstanden sind, das vor dem 1. Januar 2022 beginnt, ist § 8 Absatz 1 Nummer 10 in der am 30. Juni 2021 geltenden Fassung auf Umwandlungen und Einbringungen, deren steuerlicher Übertragungsstichtag nach dem 31. Dezember 2021 liegt, in der folgenden Fassung anzuwenden:</w:t>
      </w:r>
    </w:p>
    <w:p>
      <w:pPr>
        <w:ind w:left="420"/>
      </w:pPr>
      <w:r>
        <w:t xml:space="preserve">„10. Umwandlungen, die ungeachtet des § 1 Absatz 4 des Umwandlungssteuergesetzes zu Buchwerten erfolgen könnten; dies gilt nicht, soweit eine Umwandlung den Anteil an einer Kapitalgesellschaft erfasst, dessen Veräußerung nicht die Voraussetzungen der Nummer 9 erfüllen würde.“</w:t>
      </w:r>
    </w:p>
    <w:p>
      <w:r>
        <w:t xml:space="preserve">(6) § 8 Absatz 5 in der am 28. Dezember 2023 geltenden Fassung ist erstmals anzuwenden für die Einkommen- und Körperschaftsteuer für den Veranlagungszeitraum und für die Gewerbesteuer für den Erhebungszeitraum, für den Zwischeneinkünfte hinzuzurechnen sind, die in einem Wirtschaftsjahr der Zwischengesellschaft oder der Betriebsstätte entstanden sind, das nach dem 31. Dezember 2023 endet.</w:t>
      </w:r>
    </w:p>
    <w:p>
      <w:r>
        <w:t xml:space="preserve">(7) § 6 Absatz 5 in der am 28. Dezember 2023 geltenden Fassung ist erstmals für den Veranlagungszeitraum 2025 anzuwenden. § 18 Absatz 3 in der am 28. Dezember 2023 geltenden Fassung ist erstmals anzuwenden für die Einkommen- und Körperschaftsteuer für den Veranlagungszeitraum, für den Zwischeneinkünfte hinzuzurechnen sind, die in einem Wirtschaftsjahr der Zwischengesellschaft oder der Betriebsstätte entstanden sind, das nach dem 31. Dezember 2024 endet.</w:t>
      </w:r>
    </w:p>
    <w:p>
      <w:r>
        <w:t xml:space="preserve">(8) § 13 Absatz 1 und 3 in der am 24. Dezember 2025 geltenden Fassung ist erstmals anzuwenden für die Einkommen- und Körperschaftsteuer für den Veranlagungszeitraum und für die Gewerbesteuer für den Erhebungszeitraum, für den Zwischeneinkünfte hinzuzurechnen sind, die in einem Wirtschaftsjahr der Zwischengesellschaft oder der Betriebsstätte entstanden sind, das nach dem 31. Dezember 2021 beginnt.</w:t>
      </w:r>
    </w:p>
    <w:p>
      <w:r>
        <w:t xml:space="preserve">(9) Die §§ 9 und 13 Absatz 1 Satz 3 in der am 24. Dezember 2025 geltenden Fassung sind erstmals anzuwenden für die Einkommen- und Körperschaftsteuer für den Veranlagungszeitraum und für die Gewerbesteuer für den Erhebungszeitraum, für den Zwischeneinkünfte beziehungsweise Einkünfte mit Kapitalanlagecharakter hinzuzurechnen sind, die in einem Wirtschaftsjahr der Zwischengesellschaft oder der Betriebsstätte entstanden sind, das nach dem 31. Dezember 2025 beginnt. § 18 Absatz 1 Satz 4 in der am 24. Dezember 2025 geltenden Fassung ist für Verwaltungsakte, die nach dem 23. Dezember 2025 erlassen werden, anzuwenden. § 18 Absatz 2 in der am 24. Dezember 2025 geltenden Fassung ist für Verwaltungsakte anzuwenden, die nach dem 23. Dezember 2025 erlassen werden und die Hinzurechnung von Zwischeneinkünften betreffen, die in einem Wirtschaftsjahr der Zwischengesellschaft oder der Betriebsstätte entstanden sind, das nach dem 31. Dezember 2021 beginnt.</w:t>
      </w:r>
    </w:p>
    <w:p>
      <w:r>
        <w:rPr>
          <w:color w:val="555555"/>
          <w:sz w:val="17"/>
        </w:rPr>
        <w:t xml:space="preserve">Zitiervorschlag: § 21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