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AStG — Bestimmungen über die Anwendung von Abkommen zur Vermeidung der Doppelbesteuerung</w:t>
      </w:r>
    </w:p>
    <w:p>
      <w:r>
        <w:rPr>
          <w:color w:val="555555"/>
          <w:sz w:val="18"/>
        </w:rPr>
        <w:t xml:space="preserve">Außensteuergesetz</w:t>
      </w:r>
    </w:p>
    <w:p>
      <w:r>
        <w:rPr>
          <w:color w:val="555555"/>
          <w:sz w:val="18"/>
        </w:rPr>
        <w:t xml:space="preserve">Stand: 01.07.2021 (konsolidierte Textfassung, kein amtliches Inkrafttretensdatum)</w:t>
      </w:r>
    </w:p>
    <w:p>
      <w:r>
        <w:t xml:space="preserve">(1) Die Vorschriften der §§ 7 bis 18 und des Absatzes 2 werden durch die Abkommen zur Vermeidung der Doppelbesteuerung nicht berührt.</w:t>
      </w:r>
    </w:p>
    <w:p>
      <w:r>
        <w:t xml:space="preserve">(2) Fallen Einkünfte in der ausländischen Betriebsstätte eines unbeschränkt Steuerpflichtigen an und sind sie auf Grund eines Abkommens zur Vermeidung der Doppelbesteuerung von der Besteuerung auszunehmen und wären die Einkünfte ungeachtet des § 8 Absatz 2 als Zwischeneinkünfte steuerpflichtig, falls diese Betriebsstätte eine ausländische Gesellschaft wäre, ist insoweit die Doppelbesteuerung nicht durch Freistellung, sondern durch Anrechnung der auf diese Einkünfte erhobenen ausländischen Steuern zu vermeiden; ein negativer Betrag ist nicht zu berücksichtigen, § 10 Absatz 3 Satz 5 und 6 gilt entsprechend. Satz 1 gilt nicht, soweit in der ausländischen Betriebsstätte Einkünfte anfallen, die nach § 8 Absatz 1 Nummer 5 Buchstabe a als Zwischeneinkünfte steuerpflichtig wären.</w:t>
      </w:r>
    </w:p>
    <w:p>
      <w:r>
        <w:t xml:space="preserve">(3) (weggefallen)</w:t>
      </w:r>
    </w:p>
    <w:p>
      <w:r>
        <w:rPr>
          <w:color w:val="555555"/>
          <w:sz w:val="17"/>
        </w:rPr>
        <w:t xml:space="preserve">Zitiervorschlag: § 20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https://recht.nulegal.eu/gesetze/AStG/20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