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1a AStG — Preisanpassungsklausel</w:t>
      </w:r>
    </w:p>
    <w:p>
      <w:r>
        <w:rPr>
          <w:color w:val="555555"/>
          <w:sz w:val="18"/>
        </w:rPr>
        <w:t xml:space="preserve">Außensteuergesetz</w:t>
      </w:r>
    </w:p>
    <w:p>
      <w:r>
        <w:rPr>
          <w:color w:val="555555"/>
          <w:sz w:val="18"/>
        </w:rPr>
        <w:t xml:space="preserve">Stand: 09.06.2021 (konsolidierte Textfassung, kein amtliches Inkrafttretensdatum)</w:t>
      </w:r>
    </w:p>
    <w:p>
      <w:r>
        <w:t xml:space="preserve">Sind wesentliche immaterielle Werte oder Vorteile Gegenstand einer Geschäftsbeziehung und weicht die tatsächliche spätere Gewinnentwicklung erheblich von der Gewinnerwartung ab, die der Verrechnungspreisbestimmung zugrunde lag, ist widerlegbar zu vermuten, dass zum Zeitpunkt des Geschäftsabschlusses Unsicherheiten im Hinblick auf die Verrechnungspreisvereinbarung bestanden und unabhängige Dritte eine sachgerechte Anpassungsregelung vereinbart hätten. Wurde eine solche Regelung nicht vereinbart und tritt bezogen auf die ersten sieben Jahre nach Geschäftsabschluss eine erhebliche Abweichung im Sinne des Satzes 1 ein, ist für eine deshalb vorzunehmende Berichtigung nach § 1 Absatz 1 Satz 1 ein angemessener Anpassungsbetrag auf den Verrechnungspreis im achten Jahr nach Geschäftsabschluss der Besteuerung zugrunde zu legen. Eine erhebliche Abweichung im Sinne des Satzes 1 liegt vor, wenn der unter Zugrundelegung der tatsächlichen Gewinnentwicklung zutreffende Fremdvergleichspreis um mehr als 20 Prozent von diesem Verrechnungspreis abweicht. Für die Bestimmung des unter Zugrundelegung der tatsächlichen Gewinnentwicklung zutreffenden Fremdvergleichspreises ist von denselben Grundsätzen auszugehen wie für die Bestimmung des Verrechnungspreises. Eine Anpassung des Verrechnungspreises ist im Sinne des Satzes 2 angemessen, wenn sie dem Unterschiedsbetrag zwischen dem Verrechnungspreis und dem unter Zugrundelegung der tatsächlichen Gewinnentwicklung zutreffenden Fremdvergleichspreis entspricht. Eine Anpassung erfolgt insbesondere dann nicht, wenn</w:t>
      </w:r>
    </w:p>
    <w:p>
      <w:pPr>
        <w:ind w:left="420"/>
      </w:pPr>
      <w:r>
        <w:t xml:space="preserve">1. der Steuerpflichtige glaubhaft macht, dass die tatsächliche Entwicklung auf Umständen basiert, die zum Zeitpunkt des Geschäftsvorfalls nicht vorhersehbar waren, oder</w:t>
      </w:r>
    </w:p>
    <w:p>
      <w:pPr>
        <w:ind w:left="420"/>
      </w:pPr>
      <w:r>
        <w:t xml:space="preserve">2. der Steuerpflichtige nachweist, dass er bei der Bestimmung des Verrechnungspreises die aus der künftigen Entwicklung resultierenden Unsicherheiten angemessen berücksichtigt hat, oder</w:t>
      </w:r>
    </w:p>
    <w:p>
      <w:pPr>
        <w:ind w:left="420"/>
      </w:pPr>
      <w:r>
        <w:t xml:space="preserve">3. im Hinblick auf immaterielle Werte und Vorteile Lizenzvereinbarungen getroffen werden, die die zu zahlende Lizenz vom Umsatz oder Gewinn des Lizenznehmers abhängig machen oder für die Höhe der Lizenz Umsatz und Gewinn berücksichtigen.</w:t>
      </w:r>
    </w:p>
    <w:p>
      <w:r>
        <w:rPr>
          <w:color w:val="555555"/>
          <w:sz w:val="17"/>
        </w:rPr>
        <w:t xml:space="preserve">Zitiervorschlag: § 1a AStG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https://recht.nulegal.eu/gesetze/AStG/1a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