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AStG — Sachverhaltsaufklärung</w:t>
      </w:r>
    </w:p>
    <w:p>
      <w:r>
        <w:rPr>
          <w:color w:val="555555"/>
          <w:sz w:val="18"/>
        </w:rPr>
        <w:t xml:space="preserve">Außensteuergesetz</w:t>
      </w:r>
    </w:p>
    <w:p>
      <w:r>
        <w:rPr>
          <w:color w:val="555555"/>
          <w:sz w:val="18"/>
        </w:rPr>
        <w:t xml:space="preserve">Stand: 01.07.2021 (konsolidierte Textfassung, kein amtliches Inkrafttretensdatum)</w:t>
      </w:r>
    </w:p>
    <w:p>
      <w:r>
        <w:t xml:space="preserve">(1) Zur Anwendung der Vorschriften der §§ 5 und 7 bis 15 haben Steuerpflichtige für sich selbst und im Zusammenwirken mit anderen die dafür notwendigen Auskünfte zu erteilen. Auf Verlangen sind insbesondere</w:t>
      </w:r>
    </w:p>
    <w:p>
      <w:pPr>
        <w:ind w:left="420"/>
      </w:pPr>
      <w:r>
        <w:t xml:space="preserve">1. die Geschäftsbeziehungen zu offenbaren, die zwischen der Gesellschaft und einem so beteiligten unbeschränkt Steuerpflichtigen oder einer einem solchen im Sinne des § 7 Absatz 3 oder 4 nahestehenden Person bestehen,</w:t>
      </w:r>
    </w:p>
    <w:p>
      <w:pPr>
        <w:ind w:left="420"/>
      </w:pPr>
      <w:r>
        <w:t xml:space="preserve">2. die für die Anwendung der §§ 7 bis 15 sachdienlichen Unterlagen einschließlich der Bilanzen und der Erfolgsrechnungen, einer Darstellung der Beteiligungsverhältnisse sowie der Steuererklärungen und Steuerbescheide vorzulegen. Auf Verlangen sind diese Unterlagen mit dem im Staat der Geschäftsleitung oder des Sitzes vorgeschriebenen oder üblichen Prüfungsvermerk einer behördlich anerkannten Wirtschaftsprüfungsstelle oder vergleichbaren Stelle vorzulegen.</w:t>
      </w:r>
    </w:p>
    <w:p>
      <w:r>
        <w:t xml:space="preserve">(2) Ist für die Ermittlung der Einkünfte, für die eine ausländische Gesellschaft Zwischengesellschaft ist, eine Schätzung nach § 162 der Abgabenordnung vorzunehmen, so ist mangels anderer geeigneter Anhaltspunkte bei der Schätzung als Anhaltspunkt von mindestens 20 Prozent des gemeinen Werts der von den unbeschränkt Steuerpflichtigen gehaltenen Anteile auszugehen; Zinsen und Nutzungsentgelte, die die Gesellschaft für überlassene Wirtschaftsgüter an die unbeschränkt Steuerpflichtigen zahlt, sind abzuziehen.</w:t>
      </w:r>
    </w:p>
    <w:p>
      <w:r>
        <w:rPr>
          <w:color w:val="555555"/>
          <w:sz w:val="17"/>
        </w:rPr>
        <w:t xml:space="preserve">Zitiervorschlag: § 17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