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AStG — Berichtigung von Einkünften</w:t>
      </w:r>
    </w:p>
    <w:p>
      <w:r>
        <w:rPr>
          <w:color w:val="555555"/>
          <w:sz w:val="18"/>
        </w:rPr>
        <w:t xml:space="preserve">Außensteuergesetz</w:t>
      </w:r>
    </w:p>
    <w:p>
      <w:r>
        <w:rPr>
          <w:color w:val="555555"/>
          <w:sz w:val="18"/>
        </w:rPr>
        <w:t xml:space="preserve">Stand: 04.04.2024 (konsolidierte Textfassung, kein amtliches Inkrafttretensdatum)</w:t>
      </w:r>
    </w:p>
    <w:p>
      <w:r>
        <w:t xml:space="preserve">(1) Werden Einkünfte eines Steuerpflichtigen aus einer Geschäftsbeziehung zum Ausland mit einer ihm nahestehenden Person dadurch gemindert, dass er seiner Einkünfteermittlung andere Bedingungen, insbesondere Preise (Verrechnungspreise), zugrunde legt, als sie voneinander unabhängige Dritte unter gleichen oder vergleichbaren Verhältnissen vereinbart hätten (Fremdvergleichsgrundsatz), sind seine Einkünfte unbeschadet anderer Vorschriften so anzusetzen, wie sie unter den zwischen voneinander unabhängigen Dritten vereinbarten Bedingungen angefallen wären. Steuerpflichtiger im Sinne dieser Vorschrift sowie im Sinne des § 1a ist auch eine Personengesellschaft oder eine Mitunternehmerschaft; eine Personengesellschaft oder Mitunternehmerschaft ist selbst nahestehende Person, wenn sie die Voraussetzungen des Absatzes 2 erfüllt. Für die Anwendung des Fremdvergleichsgrundsatzes ist davon auszugehen, dass die voneinander unabhängigen Dritten alle wesentlichen Umstände der Geschäftsbeziehung kennen und nach den Grundsätzen ordentlicher und gewissenhafter Geschäftsleiter handeln. Führt die Anwendung des Fremdvergleichsgrundsatzes zu weitergehenden Berichtigungen als die anderen Vorschriften, sind die weitergehenden Berichtigungen neben den Rechtsfolgen der anderen Vorschriften durchzuführen.</w:t>
      </w:r>
    </w:p>
    <w:p>
      <w:r>
        <w:t xml:space="preserve">(2) Dem Steuerpflichtigen ist eine Person nahestehend, wenn</w:t>
      </w:r>
    </w:p>
    <w:p>
      <w:pPr>
        <w:ind w:left="420"/>
      </w:pPr>
      <w:r>
        <w:t xml:space="preserve">1. die Person</w:t>
      </w:r>
    </w:p>
    <w:p>
      <w:pPr>
        <w:ind w:left="780"/>
      </w:pPr>
      <w:r>
        <w:t xml:space="preserve">a) an dem Steuerpflichtigen oder der Steuerpflichtige an dieser Person mindestens zu einem Viertel unmittelbar oder mittelbar an dem gezeichneten Kapital, den Mitgliedschaftsrechten, den Beteiligungsrechten, den Stimmrechten oder dem Gesellschaftsvermögen beteiligt (wesentlich beteiligt) ist oder</w:t>
      </w:r>
    </w:p>
    <w:p>
      <w:pPr>
        <w:ind w:left="780"/>
      </w:pPr>
      <w:r>
        <w:t xml:space="preserve">b) gegenüber dem Steuerpflichtigen oder der Steuerpflichtige gegenüber dieser Person Anspruch auf mindestens ein Viertel des Gewinns oder des Liquidationserlöses hat; oder</w:t>
      </w:r>
    </w:p>
    <w:p>
      <w:pPr>
        <w:ind w:left="420"/>
      </w:pPr>
      <w:r>
        <w:t xml:space="preserve">2. die Person auf den Steuerpflichtigen oder der Steuerpflichtige auf diese Person unmittelbar oder mittelbar beherrschenden Einfluss ausüben kann; oder</w:t>
      </w:r>
    </w:p>
    <w:p>
      <w:pPr>
        <w:ind w:left="420"/>
      </w:pPr>
      <w:r>
        <w:t xml:space="preserve">3. eine dritte Person</w:t>
      </w:r>
    </w:p>
    <w:p>
      <w:pPr>
        <w:ind w:left="780"/>
      </w:pPr>
      <w:r>
        <w:t xml:space="preserve">a) sowohl an der Person als auch an dem Steuerpflichtigen wesentlich beteiligt ist,</w:t>
      </w:r>
    </w:p>
    <w:p>
      <w:pPr>
        <w:ind w:left="780"/>
      </w:pPr>
      <w:r>
        <w:t xml:space="preserve">b) sowohl gegenüber der Person als auch gegenüber dem Steuerpflichtigen Anspruch auf mindestens ein Viertel des Gewinns oder des Liquidationserlöses hat oder</w:t>
      </w:r>
    </w:p>
    <w:p>
      <w:pPr>
        <w:ind w:left="780"/>
      </w:pPr>
      <w:r>
        <w:t xml:space="preserve">c) auf die Person als auch auf den Steuerpflichtigen unmittelbar oder mittelbar beherrschenden Einfluss ausüben kann; oder</w:t>
      </w:r>
    </w:p>
    <w:p>
      <w:pPr>
        <w:ind w:left="420"/>
      </w:pPr>
      <w:r>
        <w:t xml:space="preserve">4. die Person oder der Steuerpflichtige imstande ist, bei der Vereinbarung der Bedingungen einer Geschäftsbeziehung auf den Steuerpflichtigen oder die Person einen außerhalb dieser Geschäftsbeziehung begründeten Einfluss auszuüben oder wenn einer von ihnen ein eigenes Interesse an der Erzielung der Einkünfte des anderen hat.</w:t>
      </w:r>
    </w:p>
    <w:p>
      <w:r>
        <w:t xml:space="preserve">Satz 1 Nummer 3 Buchstabe a bis c gilt auch, soweit im Verhältnis der dritten Person zu der Person und dem Steuerpflichtigen jeweils eines der in Satz 1 Nummer 3 Buchstabe a bis c genannten Merkmale erfüllt ist.</w:t>
      </w:r>
    </w:p>
    <w:p>
      <w:r>
        <w:t xml:space="preserve">(3) Für die Bestimmung der dem Fremdvergleichsgrundsatz entsprechenden Verrechnungspreise (Fremdvergleichspreise) für eine Geschäftsbeziehung im Sinne des Absatzes 1 Satz 1 sind die tatsächlichen Verhältnisse maßgebend, die dem jeweiligen Geschäftsvorfall zugrunde liegen. Insbesondere ist zu berücksichtigen, von welcher an dem Geschäftsvorfall beteiligten Person welche Funktionen in Bezug auf den jeweiligen Geschäftsvorfall ausgeübt, welche Risiken diesbezüglich jeweils übernommen und welche Vermögenswerte hierfür eingesetzt werden (Funktions- und Risikoanalyse). Die Verhältnisse im Sinne der Sätze 1 und 2 bilden den Maßstab für die Feststellung der Vergleichbarkeit des zu untersuchenden Geschäftsvorfalls mit Geschäftsvorfällen zwischen voneinander unabhängigen Dritten (Vergleichbarkeitsanalyse); die diesen Geschäftsvorfällen zugrunde liegenden Verhältnisse sind in entsprechender Anwendung der Sätze 1 und 2 maßgebend, soweit dies möglich ist. Abzustellen ist auf die Verhältnisse zum Zeitpunkt der Vereinbarung des Geschäftsvorfalls. Der Fremdvergleichspreis ist grundsätzlich nach der im Hinblick auf die Vergleichbarkeitsanalyse und die Verfügbarkeit von Werten zu vergleichbaren Geschäftsvorfällen voneinander unabhängiger Dritter am besten geeigneten Verrechnungspreismethode zu bestimmen. Unterschiede zwischen den Verhältnissen der zum Vergleich herangezogenen Geschäftsvorfälle zwischen voneinander unabhängigen Dritten und den dem zu untersuchenden Geschäftsvorfall zugrunde liegenden Verhältnissen, die die Anwendung der Verrechnungspreismethode beeinflussen können, sind durch sachgerechte Anpassungen zu beseitigen, sofern dies möglich ist; dies gilt nur, wenn dadurch die Vergleichbarkeit erhöht wird. Können keine Vergleichswerte festgestellt werden, ist für die Bestimmung des Fremdvergleichspreises ein hypothetischer Fremdvergleich unter Beachtung des Absatzes 1 Satz 3 aus Sicht des Leistenden und des jeweiligen Leistungsempfängers anhand ökonomisch anerkannter Bewertungsmethoden durchzuführen.</w:t>
      </w:r>
    </w:p>
    <w:p>
      <w:r>
        <w:t xml:space="preserve">(3a) Die Anwendung des Fremdvergleichsgrundsatzes führt regelmäßig zu einer Bandbreite von Werten. Diese Bandbreite ist einzuengen, wenn nach Anwendung von Absatz 3 Satz 6 Unterschiede in der Vergleichbarkeit verbleiben. Bieten diese Werte selbst keine Anhaltspunkte für eine bestimmte Einengung, so bleiben aus dieser Bandbreite das Viertel der kleinsten und das Viertel der größten Werte unberücksichtigt. Liegt der vom Steuerpflichtigen für seine Einkünfteermittlung verwendete Wert außerhalb der Bandbreite gemäß Satz 1 oder der eingeengten Bandbreite, ist der Median maßgeblich, wenn der Steuerpflichtige nicht glaubhaft macht, dass ein anderer Wert innerhalb der Bandbreite dem Fremdvergleichsgrundsatz besser entspricht. Bei der Anwendung des hypothetischen Fremdvergleichs nach Absatz 3 Satz 7 ergibt sich regelmäßig aus dem Mindestpreis des Leistenden und dem Höchstpreis des Leistungsempfängers ein Einigungsbereich. In den Fällen des Satzes 5 ist der Mittelwert des Einigungsbereichs zugrunde zu legen, wenn der Steuerpflichtige nicht glaubhaft macht, dass ein anderer Wert innerhalb des Einigungsbereichs dem Fremdvergleichsgrundsatz entspricht.</w:t>
      </w:r>
    </w:p>
    <w:p>
      <w:r>
        <w:t xml:space="preserve">(3b) Wird eine Funktion einschließlich der dazugehörigen Chancen und Risiken sowie der mitübertragenen oder mitüberlassenen Wirtschaftsgüter oder sonstigen Vorteile verlagert und ist auf die verlagerte Funktion Absatz 3 Satz 7 anzuwenden, weil für die Verlagerung der Funktion als Ganzes (Transferpaket) keine Vergleichsdaten festgestellt werden können, ist der Einigungsbereich auf der Grundlage des Transferpakets zu bestimmen. Hiervon kann abgesehen werden, wenn der Steuerpflichtige glaubhaft macht, dass weder wesentliche immaterielle Wirtschaftsgüter noch sonstige Vorteile Gegenstand der Funktionsverlagerung waren. Dies gilt dann, wenn das übernehmende Unternehmen die übergehende Funktion ausschließlich gegenüber dem verlagernden Unternehmen ausübt und das Entgelt, das für die Ausübung der Funktion und die Erbringung der entsprechenden Leistungen anzusetzen ist, nach der Kostenaufschlagsmethode zu ermitteln ist.</w:t>
      </w:r>
    </w:p>
    <w:p>
      <w:r>
        <w:t xml:space="preserve">(3c) Die Übertragung oder Überlassung zur Nutzung eines immateriellen Werts ist zu vergüten, wenn diese auf der Grundlage einer Geschäftsbeziehung im Sinne des Absatzes 4 erfolgt und hiermit eine finanzielle Auswirkung für den Übernehmer, den Nutzenden, den Übertragenden oder den Überlassenden verbunden ist. Immaterielle Werte sind Vermögenswerte,</w:t>
      </w:r>
    </w:p>
    <w:p>
      <w:pPr>
        <w:ind w:left="420"/>
      </w:pPr>
      <w:r>
        <w:t xml:space="preserve">1. die weder materielle Wirtschaftsgüter oder Beteiligungen noch Finanzanlagen sind,</w:t>
      </w:r>
    </w:p>
    <w:p>
      <w:pPr>
        <w:ind w:left="420"/>
      </w:pPr>
      <w:r>
        <w:t xml:space="preserve">2. die Gegenstand eines Geschäftsvorfalls sein können, ohne einzeln übertragbar sein zu müssen, und</w:t>
      </w:r>
    </w:p>
    <w:p>
      <w:pPr>
        <w:ind w:left="420"/>
      </w:pPr>
      <w:r>
        <w:t xml:space="preserve">3. die einer Person eine tatsächliche oder rechtliche Position über diesen Vermögenswert vermitteln können.</w:t>
      </w:r>
    </w:p>
    <w:p>
      <w:r>
        <w:t xml:space="preserve">Die Feststellung des Eigentums oder der Inhaberschaft an einem immateriellen Wert, einschließlich aus einem solchen abgeleiteter Rechte, ist Ausgangspunkt für die Bestimmung, welchem an dem Geschäftsvorfall beteiligten Unternehmen der Ertrag zusteht, der sich aus jedweder Art der Verwertung dieses immateriellen Werts ergibt. Soweit eine dem Eigentümer oder dem Inhaber des immateriellen Werts nahestehende Person Funktionen im Zusammenhang mit der Entwicklung oder Erschaffung, der Verbesserung, dem Erhalt, dem Schutz oder jedweder Art der Verwertung des immateriellen Werts ausübt, hierzu Vermögenswerte einsetzt und Risiken übernimmt, sind diese Funktionen vom Eigentümer oder Inhaber der nahestehenden Person angemessen zu vergüten. Die Finanzierung der Entwicklung oder Erschaffung, des Erhalts oder des Schutzes eines immateriellen Werts ist angemessen zu vergüten und berechtigt nicht zum Ertrag aus dem finanzierten immateriellen Wert.</w:t>
      </w:r>
    </w:p>
    <w:p>
      <w:r>
        <w:t xml:space="preserve">(3d) Es entspricht nicht dem Fremdvergleichsgrundsatz, wenn ein aus einer grenzüberschreitenden Finanzierungsbeziehung innerhalb einer multinationalen Unternehmensgruppe resultierender Aufwand die Einkünfte des Steuerpflichtigen gemindert hat und</w:t>
      </w:r>
    </w:p>
    <w:p>
      <w:pPr>
        <w:ind w:left="420"/>
      </w:pPr>
      <w:r>
        <w:t xml:space="preserve">1. der Steuerpflichtige nicht glaubhaft machen kann, dass er</w:t>
      </w:r>
    </w:p>
    <w:p>
      <w:pPr>
        <w:ind w:left="780"/>
      </w:pPr>
      <w:r>
        <w:t xml:space="preserve">a) den Kapitaldienst für die gesamte Laufzeit dieser Finanzierungsbeziehung von Anfang an hätte erbringen können und</w:t>
      </w:r>
    </w:p>
    <w:p>
      <w:pPr>
        <w:ind w:left="780"/>
      </w:pPr>
      <w:r>
        <w:t xml:space="preserve">b) die Finanzierung wirtschaftlich benötigt und für den Unternehmenszweck verwendet</w:t>
      </w:r>
    </w:p>
    <w:p>
      <w:r>
        <w:t xml:space="preserve">oder</w:t>
      </w:r>
    </w:p>
    <w:p>
      <w:pPr>
        <w:ind w:left="420"/>
      </w:pPr>
      <w:r>
        <w:t xml:space="preserve">2. soweit der seitens des Steuerpflichtigen zu entrichtende Zinssatz für eine grenzüberschreitende Finanzierungsbeziehung mit einer ihm nahestehenden Person den Zinssatz übersteigt, zu dem sich das Unternehmen unter Zugrundelegung des Ratings für die Unternehmensgruppe gegenüber fremden Dritten finanzieren könnte. Wird im Einzelfall nachgewiesen, dass ein aus dem Unternehmensgruppenrating abgeleitetes Rating dem Fremdvergleichsgrundsatz entspricht, ist dieses bei der Bemessung des Zinssatzes zu berücksichtigen.</w:t>
      </w:r>
    </w:p>
    <w:p>
      <w:r>
        <w:t xml:space="preserve">Als Finanzierungsbeziehung gelten insbesondere ein Darlehensverhältnis sowie die Nutzung oder die Bereitstellung von Fremdkapital und fremdkapitalähnlichen Instrumenten.</w:t>
      </w:r>
    </w:p>
    <w:p>
      <w:r>
        <w:t xml:space="preserve">(3e) Es handelt sich regelmäßig um eine funktions- und risikoarme Dienstleistung, wenn</w:t>
      </w:r>
    </w:p>
    <w:p>
      <w:pPr>
        <w:ind w:left="420"/>
      </w:pPr>
      <w:r>
        <w:t xml:space="preserve">1. eine Finanzierungsbeziehung von einem Unternehmen gegenüber einem anderen Unternehmen innerhalb einer multinationalen Unternehmensgruppe vermittelt wird oder</w:t>
      </w:r>
    </w:p>
    <w:p>
      <w:pPr>
        <w:ind w:left="420"/>
      </w:pPr>
      <w:r>
        <w:t xml:space="preserve">2. eine Finanzierungsbeziehung von einem Unternehmen an ein anderes Unternehmen innerhalb einer multinationalen Unternehmensgruppe weitergeleitet wird.</w:t>
      </w:r>
    </w:p>
    <w:p>
      <w:r>
        <w:t xml:space="preserve">Hiervon ist auch regelmäßig dann auszugehen, wenn ein Unternehmen in der Unternehmensgruppe für ein oder mehrere Unternehmen der Unternehmensgruppe die Steuerung von Finanzmitteln, wie etwa ein Liquiditätsmanagement, ein Finanzrisikomanagement, ein Währungsrisikomanagement oder die Tätigkeit als Finanzierungsgesellschaft, übernimmt. Die Sätze 1 und 2 gelten nicht, wenn anhand einer Funktions- und Risikoanalyse nachgewiesen wird, dass es sich nicht um eine funktions- und risikoarme Dienstleistung handelt.</w:t>
      </w:r>
    </w:p>
    <w:p>
      <w:r>
        <w:t xml:space="preserve">(4) Geschäftsbeziehungen im Sinne dieser Vorschrift sind</w:t>
      </w:r>
    </w:p>
    <w:p>
      <w:pPr>
        <w:ind w:left="420"/>
      </w:pPr>
      <w:r>
        <w:t xml:space="preserve">1. einzelne oder mehrere zusammenhängende wirtschaftliche Vorgänge (Geschäftsvorfälle) zwischen einem Steuerpflichtigen und einer ihm nahestehenden Person,</w:t>
      </w:r>
    </w:p>
    <w:p>
      <w:pPr>
        <w:ind w:left="780"/>
      </w:pPr>
      <w:r>
        <w:t xml:space="preserve">a) die Teil einer Tätigkeit des Steuerpflichtigen oder der nahestehenden Person sind, auf die die §§ 13, 15, 18 oder 21 des Einkommensteuergesetzes anzuwenden sind oder anzuwenden wären, wenn sich der Geschäftsvorfall im Inland unter Beteiligung eines unbeschränkt Steuerpflichtigen und einer inländischen nahestehenden Person ereignet hätte, und</w:t>
      </w:r>
    </w:p>
    <w:p>
      <w:pPr>
        <w:ind w:left="780"/>
      </w:pPr>
      <w:r>
        <w:t xml:space="preserve">b) denen keine gesellschaftsvertragliche Vereinbarung zugrunde liegt; eine gesellschaftsvertragliche Vereinbarung ist eine Vereinbarung, die unmittelbar zu einer rechtlichen Änderung der Gesellschafterstellung führt;</w:t>
      </w:r>
    </w:p>
    <w:p>
      <w:pPr>
        <w:ind w:left="420"/>
      </w:pPr>
      <w:r>
        <w:t xml:space="preserve">2. Geschäftsvorfälle zwischen einem Unternehmen eines Steuerpflichtigen und seiner in einem anderen Staat gelegenen Betriebsstätte (anzunehmende schuldrechtliche Beziehungen).</w:t>
      </w:r>
    </w:p>
    <w:p>
      <w:r>
        <w:t xml:space="preserve">Liegt einem Geschäftsvorfall keine schuldrechtliche Vereinbarung zugrunde, ist davon auszugehen, dass voneinander unabhängige ordentliche und gewissenhafte Geschäftsleiter eine schuldrechtliche Vereinbarung getroffen hätten oder eine bestehende Rechtsposition geltend machen würden, die der Besteuerung zugrunde zu legen ist, es sei denn, der Steuerpflichtige macht im Einzelfall etwas anderes glaubhaft.</w:t>
      </w:r>
    </w:p>
    <w:p>
      <w:r>
        <w:t xml:space="preserve">(5) Die Absätze 1, 3 bis 4 sind entsprechend anzuwenden, wenn für eine Geschäftsbeziehung im Sinne des Absatzes 4 Satz 1 Nummer 2 die Bedingungen, insbesondere die Verrechnungspreise, die der Aufteilung der Einkünfte zwischen einem inländischen Unternehmen und seiner ausländischen Betriebsstätte oder der Ermittlung der Einkünfte der inländischen Betriebsstätte eines ausländischen Unternehmens steuerlich zugrunde gelegt werden, nicht dem Fremdvergleichsgrundsatz entsprechen und dadurch die inländischen Einkünfte eines beschränkt Steuerpflichtigen gemindert oder die ausländischen Einkünfte eines unbeschränkt Steuerpflichtigen erhöht werden. Zur Anwendung des Fremdvergleichsgrundsatzes ist eine Betriebsstätte wie ein eigenständiges und unabhängiges Unternehmen zu behandeln, es sei denn, die Zugehörigkeit der Betriebsstätte zum Unternehmen erfordert eine andere Behandlung. Um die Betriebsstätte wie ein eigenständiges und unabhängiges Unternehmen zu behandeln, sind ihr in einem ersten Schritt zuzuordnen:</w:t>
      </w:r>
    </w:p>
    <w:p>
      <w:pPr>
        <w:ind w:left="420"/>
      </w:pPr>
      <w:r>
        <w:t xml:space="preserve">1. die Funktionen des Unternehmens, die durch ihr Personal ausgeübt werden (Personalfunktionen),</w:t>
      </w:r>
    </w:p>
    <w:p>
      <w:pPr>
        <w:ind w:left="420"/>
      </w:pPr>
      <w:r>
        <w:t xml:space="preserve">2. die Vermögenswerte des Unternehmens, die sie zur Ausübung der ihr zugeordneten Funktionen benötigt,</w:t>
      </w:r>
    </w:p>
    <w:p>
      <w:pPr>
        <w:ind w:left="420"/>
      </w:pPr>
      <w:r>
        <w:t xml:space="preserve">3. die Chancen und Risiken des Unternehmens, die sie auf Grund der ausgeübten Funktionen und zugeordneten Vermögenswerte übernimmt, sowie</w:t>
      </w:r>
    </w:p>
    <w:p>
      <w:pPr>
        <w:ind w:left="420"/>
      </w:pPr>
      <w:r>
        <w:t xml:space="preserve">4. ein angemessenes Eigenkapital (Dotationskapital).</w:t>
      </w:r>
    </w:p>
    <w:p>
      <w:r>
        <w:t xml:space="preserve">Auf der Grundlage dieser Zuordnung sind in einem zweiten Schritt die Art der Geschäftsbeziehungen zwischen dem Unternehmen und seiner Betriebsstätte und die Verrechnungspreise für diese Geschäftsbeziehungen zu bestimmen. Die Sätze 1 bis 4 sind entsprechend auf ständige Vertreter anzuwenden. Die Möglichkeit, einen Ausgleichsposten nach § 4g des Einkommensteuergesetzes zu bilden, wird nicht eingeschränkt. Auf Geschäftsbeziehungen zwischen einem Gesellschafter und seiner Personengesellschaft oder zwischen einem Mitunternehmer und seiner Mitunternehmerschaft sind die Sätze 1 bis 4 nicht anzuwenden, unabhängig davon, ob die Beteiligung unmittelbar besteht oder ob sie nach § 15 Absatz 1 Satz 1 Nummer 2 Satz 2 des Einkommensteuergesetzes mittelbar besteht; für diese Geschäftsbeziehungen gilt Absatz 1. Ist ein Abkommen zur Vermeidung der Doppelbesteuerung anzuwenden und macht der Steuerpflichtige geltend, dass dessen Regelungen den Sätzen 1 bis 7 widersprechen, so hat das Abkommen nur Vorrang, soweit der Steuerpflichtige nachweist, dass der andere Staat sein Besteuerungsrecht entsprechend diesem Abkommen ausübt und deshalb die Anwendung der Sätze 1 bis 7 zu einer Doppelbesteuerung führen würde.</w:t>
      </w:r>
    </w:p>
    <w:p>
      <w:r>
        <w:t xml:space="preserve">(6) Das Bundesministerium der Finanzen wird ermächtigt, mit Zustimmung des Bundesrates durch Rechtsverordnung Einzelheiten des Fremdvergleichsgrundsatzes im Sinne der Absätze 1, 3 bis 3e und 5 und Einzelheiten zu dessen einheitlicher Anwendung zu regeln sowie Grundsätze zur Bestimmung des Dotationskapitals im Sinne des Absatzes 5 Satz 3 Nummer 4 festzulegen.</w:t>
      </w:r>
    </w:p>
    <w:p>
      <w:r>
        <w:rPr>
          <w:color w:val="555555"/>
          <w:sz w:val="17"/>
        </w:rPr>
        <w:t xml:space="preserve">Zitiervorschlag: § 1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