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ASozVerwV (Bayern)</w:t>
      </w:r>
    </w:p>
    <w:p>
      <w:r>
        <w:rPr>
          <w:color w:val="555555"/>
          <w:sz w:val="18"/>
        </w:rPr>
        <w:t xml:space="preserve">Verordnung über die Akademie der Sozialverwaltung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 Abs. 1 der Verordnung über die Einrichtung der staatlichen Behörden (BayRS 200-1-S) erlässt das Bayerische Staatsministerium für Arbeit und Soziales, Familie und Integration im Einvernehmen mit dem Bayerischen Staatsministerium für Umwelt und Verbraucherschutz folgende Verordnung:</w:t>
      </w:r>
    </w:p>
    <w:p>
      <w:r>
        <w:rPr>
          <w:color w:val="555555"/>
          <w:sz w:val="17"/>
        </w:rPr>
        <w:t xml:space="preserve">Zitiervorschlag: Eingangsformel ASozVerwV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https://recht.nulegal.eu/gesetze/ASozVerwV/eingangsformel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