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ASozVerwV (Bayern) — Verwaltungsleitung</w:t>
      </w:r>
    </w:p>
    <w:p>
      <w:r>
        <w:rPr>
          <w:color w:val="555555"/>
          <w:sz w:val="18"/>
        </w:rPr>
        <w:t xml:space="preserve">Verordnung über die Akademie der Sozialverwaltung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Leitung der Verwaltung obliegt einer Beamtin oder einem Beamten, der eine der Voraussetzungen nach Art. 17 Abs. 6 Satz 1 LlbG für die Beförderung in ein Amt mindestens der Besoldungsgruppe A 10 erfüllt. Sie oder er unterstützt die Leitung der Akademie der Sozialverwaltung in den Verwaltungsangelegenheiten.</w:t>
      </w:r>
    </w:p>
    <w:p>
      <w:r>
        <w:t xml:space="preserve">(2) Die Verwaltungsleiterin oder der Verwaltungsleiter ist dem Verwaltungs- und Hauspersonal vorgesetzt.</w:t>
      </w:r>
    </w:p>
    <w:p>
      <w:r>
        <w:rPr>
          <w:color w:val="555555"/>
          <w:sz w:val="17"/>
        </w:rPr>
        <w:t xml:space="preserve">Zitiervorschlag: § 4 ASozVerwV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https://recht.nulegal.eu/gesetze/ASozVerwV/4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