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ASiG — Auszug aus EinigVtr Anlage I Kapitel VIII Sachgebiet B Abschnitt III (BGBl. II 1990, 889, 1029) - Maßgaben für das beigetretene Gebiet (Art. 3 EinigVtr) -</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Abschnitt III Bundesrecht tritt in dem in Artikel 3 des Vertrages genannten Gebiet mit folgenden Maßgaben in Kraft: ...</w:t>
      </w:r>
    </w:p>
    <w:p>
      <w:pPr>
        <w:ind w:left="420"/>
      </w:pPr>
      <w:r>
        <w:t xml:space="preserve">12. Gesetz über Betriebsärzte, Sicherheitsingenieure und andere Fachkräfte für Arbeitssicherheit vom 12. Dezember 1973 (BGBl. I S. 1885), geändert durch § 70 des Gesetzes vom 12. April 1976 (BGBl. I S. 965),mit folgenden Maßgaben:</w:t>
      </w:r>
    </w:p>
    <w:p>
      <w:pPr>
        <w:ind w:left="780"/>
      </w:pPr>
      <w:r>
        <w:t xml:space="preserve">a) Die Verpflichtung der Arbeitgeber nach § 2 gilt als erfüllt, wenn die betriebsärztlichen Aufgaben durch eine Einrichtung des betrieblichen Gesundheitswesens wahrgenommen werden. Die Buchstaben b) und d) sind anzuwenden.</w:t>
      </w:r>
    </w:p>
    <w:p>
      <w:pPr>
        <w:ind w:left="780"/>
      </w:pPr>
      <w:r>
        <w:t xml:space="preserve">b) Der Arbeitgeber kann die Fachkunde als Betriebsarzt nach § 4 als nachgewiesen ansehen bei Fachärzten für Arbeitsmedizin oder Arbeitshygiene und Fachärzten mit staatlicher Anerkennung als Betriebsarzt.</w:t>
      </w:r>
    </w:p>
    <w:p>
      <w:pPr>
        <w:ind w:left="780"/>
      </w:pPr>
      <w:r>
        <w:t xml:space="preserve">c) Der Arbeitgeber kann die Fachkunde als Fachkraft für Arbeitssicherheit nach § 7 als nachgewiesen ansehen bei Fachkräften, die eine Hochschul-, Fachschul- oder Meisterqualifikation besitzen und eine der Ausbildung entsprechende praktische Tätigkeit mindestens zwei Jahre lang ausgeübt haben und eine Ausbildung als Fachingenieur oder Fachökonom für Arbeitsschutz oder Arbeitsschutzinspektor oder Sicherheitsingenieur oder Fachingenieur für Brandschutz oder den Erwerb der anerkannten Zusatzqualifikation im Gesundheits- und Arbeitsschutz für Sicherheitsinspektoren oder eine entsprechende Ausbildung auf dem Gebiet der Arbeitshygiene nachweisen können. Fachkräfte für Arbeitssicherheit erfüllen die Anforderungen auch, wenn sie vor dem Inkrafttreten dieses Gesetzes mindestens zwei Jahre lang auf dem Gebiet der Arbeitssicherheit tätig waren.</w:t>
      </w:r>
    </w:p>
    <w:p>
      <w:pPr>
        <w:ind w:left="780"/>
      </w:pPr>
      <w:r>
        <w:t xml:space="preserve">d) Für die Ermittlung der Einsatzzeit der Betriebsärzte sind folgende Mindestwerte zugrunde zu legen:</w:t>
      </w:r>
    </w:p>
    <w:p>
      <w:pPr>
        <w:ind w:left="1140"/>
      </w:pPr>
      <w:r>
        <w:t xml:space="preserve">aa) 0,25 Stunden/Beschäftigten x Jahr für Betriebe mit geringfügigen Gefährdungen,</w:t>
      </w:r>
    </w:p>
    <w:p>
      <w:pPr>
        <w:ind w:left="1140"/>
      </w:pPr>
      <w:r>
        <w:t xml:space="preserve">bb) 0,6 Stunden/Beschäftigten x Jahr für Betriebe, in denen eine arbeitsmedizinische Betreuung durchzuführen ist, weil besondere Arbeitserschwernisse vorliegen oder besonderen Berufskrankheiten vorzubeugen ist oder besondere arbeitsbedingte Gefährdungen für die Arbeitnehmer oder Dritte vorliegen,</w:t>
      </w:r>
    </w:p>
    <w:p>
      <w:pPr>
        <w:ind w:left="1140"/>
      </w:pPr>
      <w:r>
        <w:t xml:space="preserve">cc) 1,2 Stunden/Beschäftigten x Jahr für Betriebe, in denen diese arbeitsmedizinischen Untersuchungen in jährlichen oder kürzeren Zeitabständen durchzuführen sind.</w:t>
      </w:r>
    </w:p>
    <w:p>
      <w:pPr>
        <w:ind w:left="780"/>
      </w:pPr>
      <w:r>
        <w:t xml:space="preserve">Die auf der Grundlage der Mindestwerte ermittelte Einsatzzeit ist zu erhöhen, wenn der Umfang der vom Betriebsarzt durchzuführenden arbeitsmedizinischen Untersuchungen überdurchschnittlich hoch ist oder in Durchsetzung von Rechtsvorschriften zusätzliche Aufgaben im Betrieb zu lösen sind.</w:t>
      </w:r>
    </w:p>
    <w:p>
      <w:pPr>
        <w:ind w:left="780"/>
      </w:pPr>
      <w:r>
        <w:t xml:space="preserve">e) Für die Ermittlung der Einsatzzeit der Fachkräfte für Arbeitssicherheit sind folgende Mindestwerte zugrunde zu legen:</w:t>
      </w:r>
    </w:p>
    <w:p>
      <w:pPr>
        <w:ind w:left="1140"/>
      </w:pPr>
      <w:r>
        <w:t xml:space="preserve">aa) 0,2 Stunden/Beschäftigten x Jahr für Betriebe mit geringfügigen Gefährdungen,</w:t>
      </w:r>
    </w:p>
    <w:p>
      <w:pPr>
        <w:ind w:left="1140"/>
      </w:pPr>
      <w:r>
        <w:t xml:space="preserve">bb) 1,5 Stunden/Beschäftigten x Jahr für Betriebe mit mittleren Gefährdungen,</w:t>
      </w:r>
    </w:p>
    <w:p>
      <w:pPr>
        <w:ind w:left="1140"/>
      </w:pPr>
      <w:r>
        <w:t xml:space="preserve">cc) 3,0 Stunden/Beschäftigten x Jahr für Betriebe mit hohen Gefährdungen,</w:t>
      </w:r>
    </w:p>
    <w:p>
      <w:pPr>
        <w:ind w:left="1140"/>
      </w:pPr>
      <w:r>
        <w:t xml:space="preserve">dd) 4,0 Stunden/Beschäftigten x Jahr für Betriebe mit sehr hohen Gefährdungen.</w:t>
      </w:r>
    </w:p>
    <w:p>
      <w:pPr>
        <w:ind w:left="780"/>
      </w:pPr>
      <w:r>
        <w:t xml:space="preserve">Die auf der Grundlage der Mindestwerte ermittelte Einsatzzeit ist zu erhöhen, wenn der Schwierigkeitsgrad der arbeitssicherheitlichen Aufgabe oder der Umfang der Aufgaben der technischen Arbeitshygiene überdurchschnittlich hoch ist oder zusätzliche Aufgaben, z.B. für die Bereiche des Brand- oder Strahlenschutzes, zu lösen sind.</w:t>
      </w:r>
    </w:p>
    <w:p>
      <w:pPr>
        <w:ind w:left="780"/>
      </w:pPr>
      <w:r>
        <w:t xml:space="preserve">f) Wird der Arbeitgeber Mitglied eines Unfallversicherungsträgers und hat dieser Unfallverhütungsvorschriften gemäß § 14 Abs. 1 erlassen, so treten an die Stelle der Bestimmungen in den Buchstaben b) bis e) die entsprechenden Bestimmungen der Unfallverhütungsvorschriften. Die erforderliche Fachkunde kann auch weiterhin als nachgewiesen angesehen werden, wenn die Voraussetzungen der Buchstaben b) und c) erfüllt sind.</w:t>
      </w:r>
    </w:p>
    <w:p>
      <w:pPr>
        <w:ind w:left="780"/>
      </w:pPr>
      <w:r>
        <w:t xml:space="preserve">g) Für den öffentlichen Dienst der in Artikel 1 des Vertrages genannten Länder und des Landes Berlin für den Teil, in dem das Grundgesetz bisher nicht galt, ist bis zum Erlaß entsprechender Vorschriften durch die für den öffentlichen Dienst zuständigen Minister der Länder die Richtlinie des Bundesministers des Innern für den betriebsärztlichen und sicherheitstechnischen Dienst in den Verwaltungen und Betrieben des Bundes vom 28. Januar 1978 (GMBl. S. 114 ff.) anzuwenden.</w:t>
      </w:r>
    </w:p>
    <w:p>
      <w:r>
        <w:t xml:space="preserve">...</w:t>
      </w:r>
    </w:p>
    <w:p>
      <w:r>
        <w:rPr>
          <w:color w:val="555555"/>
          <w:sz w:val="17"/>
        </w:rPr>
        <w:t xml:space="preserve">Zitiervorschlag: Anhang EV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