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ASiG — Ordnungswidrigkeiten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vollziehbaren Anordnung nach § 12 Abs. 1 zuwiderhandelt,</w:t>
      </w:r>
    </w:p>
    <w:p>
      <w:pPr>
        <w:ind w:left="420"/>
      </w:pPr>
      <w:r>
        <w:t xml:space="preserve">2. entgegen § 13 Abs. 1 Satz 1 eine Auskunft nicht, nicht richtig oder nicht vollständig erteilt oder</w:t>
      </w:r>
    </w:p>
    <w:p>
      <w:pPr>
        <w:ind w:left="420"/>
      </w:pPr>
      <w:r>
        <w:t xml:space="preserve">3. entgegen § 13 Abs. 2 Satz 1 eine Besichtigung nicht duldet.</w:t>
      </w:r>
    </w:p>
    <w:p>
      <w:r>
        <w:t xml:space="preserve">(2) Eine Ordnungswidrigkeit nach Absatz 1 Nr. 1 kann mit einer Geldbuße bis zu fünfundzwanzigtausend Euro, eine Ordnungswidrigkeit nach Absatz 1 Nr. 2 und 3 mit einer Geldbuße bis zu fünfhundert Euro geahndet werden.</w:t>
      </w:r>
    </w:p>
    <w:p>
      <w:r>
        <w:rPr>
          <w:color w:val="555555"/>
          <w:sz w:val="17"/>
        </w:rPr>
        <w:t xml:space="preserve">Zitiervorschlag: § 20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