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ASiG — Öffentliche Verwaltung</w:t>
      </w:r>
    </w:p>
    <w:p>
      <w:r>
        <w:rPr>
          <w:color w:val="555555"/>
          <w:sz w:val="18"/>
        </w:rPr>
        <w:t xml:space="preserve">Gesetz über Betriebsärzte, Sicherheitsingenieure und andere Fachkräfte für Arbeitssicherheit</w:t>
      </w:r>
    </w:p>
    <w:p>
      <w:r>
        <w:rPr>
          <w:color w:val="555555"/>
          <w:sz w:val="18"/>
        </w:rPr>
        <w:t xml:space="preserve">Stand: 10.06.2019 (konsolidierte Textfassung, kein amtliches Inkrafttretensdatum)</w:t>
      </w:r>
    </w:p>
    <w:p>
      <w:r>
        <w:t xml:space="preserve">In Verwaltungen und Betrieben des Bundes, der Länder, der Gemeinden und der sonstigen Körperschaften, Anstalten und Stiftungen des öffentlichen Rechts ist ein den Grundsätzen dieses Gesetzes gleichwertiger arbeitsmedizinischer und sicherheitstechnischer Arbeitsschutz zu gewährleisten.</w:t>
      </w:r>
    </w:p>
    <w:p>
      <w:r>
        <w:rPr>
          <w:color w:val="555555"/>
          <w:sz w:val="17"/>
        </w:rPr>
        <w:t xml:space="preserve">Zitiervorschlag: § 16 ASiG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https://recht.nulegal.eu/gesetze/ASiG/16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