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ASchulG — Übergangsregelung</w:t>
      </w:r>
    </w:p>
    <w:p>
      <w:r>
        <w:rPr>
          <w:color w:val="555555"/>
          <w:sz w:val="18"/>
        </w:rPr>
        <w:t xml:space="preserve">Auslandsschulgesetz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gemäß § 11 Absatz 1 Satz 2 zu vereinbarende Anzahl der erforderlichen Lehrkräfte darf für einen Übergangszeitraum bis zum 31. Dezember 2022 überschritten werden.</w:t>
      </w:r>
    </w:p>
    <w:p>
      <w:r>
        <w:t xml:space="preserve">(2) Die Überschreitung ist durch eine Reduzierung der finanziellen Förderung nach § 12 auszugleichen. Dabei ist der Ausgleich nicht auf den einzelnen Schulträger, sondern auf alle Schulträger mit einem Anspruch auf finanzielle Förderung zu beziehen. Näheres regelt eine Verwaltungsvorschrift des Auswärtigen Amts.</w:t>
      </w:r>
    </w:p>
    <w:p>
      <w:r>
        <w:rPr>
          <w:color w:val="555555"/>
          <w:sz w:val="17"/>
        </w:rPr>
        <w:t xml:space="preserve">Zitiervorschlag: § 13 ASchulG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https://recht.nulegal.eu/gesetze/ASchulG/13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