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ASchulG — Personelle Förderung</w:t>
      </w:r>
    </w:p>
    <w:p>
      <w:r>
        <w:rPr>
          <w:color w:val="555555"/>
          <w:sz w:val="18"/>
        </w:rPr>
        <w:t xml:space="preserve">Auslandsschulgesetz</w:t>
      </w:r>
    </w:p>
    <w:p>
      <w:r>
        <w:rPr>
          <w:color w:val="555555"/>
          <w:sz w:val="18"/>
        </w:rPr>
        <w:t xml:space="preserve">Stand: 10.06.2019 (konsolidierte Textfassung, kein amtliches Inkrafttretensdatum)</w:t>
      </w:r>
    </w:p>
    <w:p>
      <w:r>
        <w:t xml:space="preserve">(1) Der Umfang der Förderung richtet sich nach der Anzahl der Lehrkräfte, die zur Anerkennung der laut Fördervertrag geförderten Abschlüsse erforderlich ist. Die Anzahl ergibt sich aus einer zwischen Bund und Ländern zu schließenden Verwaltungsvereinbarung.</w:t>
      </w:r>
    </w:p>
    <w:p>
      <w:r>
        <w:t xml:space="preserve">(2) Die erforderlichen Lehrkräfte werden den Deutschen Auslandsschulen durch den Bund auf bestimmte Zeit vermittelt. Die Vermittlung erfolgt durch einen Vermittlungsbescheid als Verwaltungsakt des Auswärtigen Amts oder der nachgeordneten Bundesbehörde im Sinne von § 6 gegenüber der Lehrkraft und durch Fördervertrag gegenüber der Schule.</w:t>
      </w:r>
    </w:p>
    <w:p>
      <w:r>
        <w:t xml:space="preserve">(3) Der Bund stellt sicher, dass die Deutschen Auslandsschulen nicht aus eigenen Mitteln für die Kosten der Vergütung der vermittelten erforderlichen Lehrkräfte aufkommen müssen.</w:t>
      </w:r>
    </w:p>
    <w:p>
      <w:r>
        <w:t xml:space="preserve">(4) Durch Verwaltungsvereinbarung zwischen Bund und Ländern werden Regelungen zur Beurlaubung und Vermittlung von Lehrkräften aus dem Landesdienst festgelegt.</w:t>
      </w:r>
    </w:p>
    <w:p>
      <w:r>
        <w:rPr>
          <w:color w:val="555555"/>
          <w:sz w:val="17"/>
        </w:rPr>
        <w:t xml:space="preserve">Zitiervorschlag: § 11 ASchulG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https://recht.nulegal.eu/gesetze/ASchulG/11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