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ASchulG — Erstattung der finanziellen Förderung</w:t>
      </w:r>
    </w:p>
    <w:p>
      <w:r>
        <w:rPr>
          <w:color w:val="555555"/>
          <w:sz w:val="18"/>
        </w:rPr>
        <w:t xml:space="preserve">Auslandsschulgesetz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 kann die vollständige oder anteilige Erstattung der finanziellen Förderung verlangen,</w:t>
      </w:r>
    </w:p>
    <w:p>
      <w:pPr>
        <w:ind w:left="420"/>
      </w:pPr>
      <w:r>
        <w:t xml:space="preserve">1. falls der Fördervertrag nach § 9 Absatz 2 fristlos gekündigt wurde oder</w:t>
      </w:r>
    </w:p>
    <w:p>
      <w:pPr>
        <w:ind w:left="420"/>
      </w:pPr>
      <w:r>
        <w:t xml:space="preserve">2. soweit die Förderung vollständig oder teilweise nicht vertragsgemäß verwendet wurde.</w:t>
      </w:r>
    </w:p>
    <w:p>
      <w:r>
        <w:rPr>
          <w:color w:val="555555"/>
          <w:sz w:val="17"/>
        </w:rPr>
        <w:t xml:space="preserve">Zitiervorschlag: § 10 ASchulG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https://recht.nulegal.eu/gesetze/ASchulG/10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