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ASchulG — Anwendungsbereich</w:t>
      </w:r>
    </w:p>
    <w:p>
      <w:r>
        <w:rPr>
          <w:color w:val="555555"/>
          <w:sz w:val="18"/>
        </w:rPr>
        <w:t xml:space="preserve">Auslandsschulgesetz</w:t>
      </w:r>
    </w:p>
    <w:p>
      <w:r>
        <w:rPr>
          <w:color w:val="555555"/>
          <w:sz w:val="18"/>
        </w:rPr>
        <w:t xml:space="preserve">Stand: 10.06.2019 (konsolidierte Textfassung, kein amtliches Inkrafttretensdatum)</w:t>
      </w:r>
    </w:p>
    <w:p>
      <w:r>
        <w:t xml:space="preserve">(1) Dieses Gesetz regelt die Förderung der Deutschen Auslandsschulen im Rahmen der Auswärtigen Angelegenheiten. Bund und Länder arbeiten dabei im Rahmen ihrer jeweiligen Zuständigkeiten zusammen.</w:t>
      </w:r>
    </w:p>
    <w:p>
      <w:r>
        <w:t xml:space="preserve">(2) Die vom Bundesministerium der Verteidigung getragenen Deutschen Schulen und Deutschen Abteilungen an Internationalen Schulen unterliegen diesem Gesetz nicht. Vereinbarungen zwischen dem Bundesministerium der Verteidigung und den Ländern über die personelle Unterstützung und die fachliche Betreuung dieser Schulen bleiben in ihrer Geltung unberührt.</w:t>
      </w:r>
    </w:p>
    <w:p>
      <w:r>
        <w:rPr>
          <w:color w:val="555555"/>
          <w:sz w:val="17"/>
        </w:rPr>
        <w:t xml:space="preserve">Zitiervorschlag: § 1 ASchulG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https://recht.nulegal.eu/gesetze/ASchulG/1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