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ASRG 1995 — Inkrafttreten</w:t>
      </w:r>
    </w:p>
    <w:p>
      <w:r>
        <w:rPr>
          <w:color w:val="555555"/>
          <w:sz w:val="18"/>
        </w:rPr>
        <w:t xml:space="preserve">Agrarsozialreformgesetz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1995 in Kraft, soweit in den folgenden Absätzen nicht etwas anderes bestimmt ist.</w:t>
      </w:r>
    </w:p>
    <w:p>
      <w:r>
        <w:t xml:space="preserve">(2) bis (5)</w:t>
      </w:r>
    </w:p>
    <w:p>
      <w:r>
        <w:rPr>
          <w:color w:val="555555"/>
          <w:sz w:val="17"/>
        </w:rPr>
        <w:t xml:space="preserve">Zitiervorschlag: Art 48 ASRG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https://recht.nulegal.eu/gesetze/ASRG%201995/48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