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ASP-JVO NRW (Nordrhein-Westfalen) — Erlegung während der Setzzeiten</w:t>
      </w:r>
    </w:p>
    <w:p>
      <w:r>
        <w:rPr>
          <w:color w:val="555555"/>
          <w:sz w:val="18"/>
        </w:rPr>
        <w:t xml:space="preserve">ASP-Jagdverordnung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einem gefährdeten Gebiet und in einem Kerngebiet nach § 14d Absatz 2 und Absatz 2a der Schweinepest-Verordnung, auch in Verbindung mit § 14l der Schweinepest-Verordnung, dürfen gemäß § 24 Absatz 1 Buchstabe b des Landesjagdgesetzes Nordrhein-Westfalen Bachen erlegt werden, deren Frischlinge Streifen tragen.</w:t>
      </w:r>
    </w:p>
    <w:p>
      <w:r>
        <w:rPr>
          <w:color w:val="555555"/>
          <w:sz w:val="17"/>
        </w:rPr>
        <w:t xml:space="preserve">Zitiervorschlag: § 5 ASP-JVO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https://recht.nulegal.eu/gesetze/ASP-JVO%20NRW/5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