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ASLwApFG</w:t>
      </w:r>
    </w:p>
    <w:p>
      <w:r>
        <w:rPr>
          <w:color w:val="555555"/>
          <w:sz w:val="18"/>
        </w:rPr>
        <w:t xml:space="preserve">Fördergesetz</w:t>
      </w:r>
    </w:p>
    <w:p>
      <w:r>
        <w:rPr>
          <w:color w:val="555555"/>
          <w:sz w:val="18"/>
        </w:rPr>
        <w:t xml:space="preserve">Stand: 10.06.2019 (konsolidierte Textfassung, kein amtliches Inkrafttretensdatum)</w:t>
      </w:r>
    </w:p>
    <w:p>
      <w:r>
        <w:t xml:space="preserve">Die Umstellung der Agrar- und Ernährungswirtschaft der Deutschen Demokratischen Republik auf die Bedingungen der sozialen Marktwirtschaft im Rahmen der Währungs-, Wirtschafts- und Sozialunion mit der Bundesrepublik Deutschland erfordert einen grundlegenden Strukturwandel, der durch geeignete Maßnahmen bei Wahrung der Chancengleichheit zu fördern ist. Bei der Förderung sind die Marktentwicklung sowie die Ziele und Erfordernisse der Raumordnung, des Umweltschutzes und des Tierschutzes zu beachten. Dazu hat die Volkskammer folgendes Gesetz beschlossen:</w:t>
      </w:r>
    </w:p>
    <w:p>
      <w:r>
        <w:rPr>
          <w:color w:val="555555"/>
          <w:sz w:val="17"/>
        </w:rPr>
        <w:t xml:space="preserve">Zitiervorschlag: Eingangsformel ASLwApFG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https://recht.nulegal.eu/gesetze/ASLwApFG/eingangsformel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