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ASLwApFG — Förderungsarten</w:t>
      </w:r>
    </w:p>
    <w:p>
      <w:r>
        <w:rPr>
          <w:color w:val="555555"/>
          <w:sz w:val="18"/>
        </w:rPr>
        <w:t xml:space="preserve">Fördergesetz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finanzielle Förderung kann in der Gewährung von Zuschüssen, Darlehen und Zinszuschüssen bestehen. Sie erfolgt im Rahmen der dafür verfügbaren Haushaltsmittel.</w:t>
      </w:r>
    </w:p>
    <w:p>
      <w:r>
        <w:rPr>
          <w:color w:val="555555"/>
          <w:sz w:val="17"/>
        </w:rPr>
        <w:t xml:space="preserve">Zitiervorschlag: § 2 ASLwApFG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https://recht.nulegal.eu/gesetze/ASLwApFG/2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