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ASLwApFG — Förderungsmaßnahmen</w:t>
      </w:r>
    </w:p>
    <w:p>
      <w:r>
        <w:rPr>
          <w:color w:val="555555"/>
          <w:sz w:val="18"/>
        </w:rPr>
        <w:t xml:space="preserve">Fördergesetz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Sinne des Artikels 15 des Vertrages über die Schaffung einer Währungs-, Wirtschafts- und Sozialunion zwischen der Deutschen Demokratischen Republik und der Bundesrepublik Deutschland können gefördert werden:</w:t>
      </w:r>
    </w:p>
    <w:p>
      <w:pPr>
        <w:ind w:left="420"/>
      </w:pPr>
      <w:r>
        <w:t xml:space="preserve">1. Maßnahmen zur Entflechtung und Neuordnung der Betriebsstruktur land-, forst- und fischwirtschaftlicher Betriebe,</w:t>
      </w:r>
    </w:p>
    <w:p>
      <w:pPr>
        <w:ind w:left="420"/>
      </w:pPr>
      <w:r>
        <w:t xml:space="preserve">2. Maßnahmen zur Neugründung von bäuerlichen Familienbetrieben,</w:t>
      </w:r>
    </w:p>
    <w:p>
      <w:pPr>
        <w:ind w:left="420"/>
      </w:pPr>
      <w:r>
        <w:t xml:space="preserve">3. Maßnahmen zur Verbesserung der Produktions- und Marktstruktur in der Land-, Forst- und Fischwirtschaft,</w:t>
      </w:r>
    </w:p>
    <w:p>
      <w:r>
        <w:t xml:space="preserve">4.</w:t>
      </w:r>
    </w:p>
    <w:p>
      <w:pPr>
        <w:ind w:left="420"/>
      </w:pPr>
      <w:r>
        <w:t xml:space="preserve">5. Maßnahmen zur Verbesserung der Infrastruktur des ländlichen Raumes,</w:t>
      </w:r>
    </w:p>
    <w:p>
      <w:pPr>
        <w:ind w:left="420"/>
      </w:pPr>
      <w:r>
        <w:t xml:space="preserve">6. Maßnahmen zur Vermeidung sozialer Härten bei der Freisetzung von Beschäftigten,</w:t>
      </w:r>
    </w:p>
    <w:p>
      <w:pPr>
        <w:ind w:left="420"/>
      </w:pPr>
      <w:r>
        <w:t xml:space="preserve">7. Anpassungs- und Überbrückungshilfen.</w:t>
      </w:r>
    </w:p>
    <w:p>
      <w:r>
        <w:t xml:space="preserve">(2) Der Minister für Ernährung, Land- und Forstwirtschaft wird beauftragt, einvernehmlich mit dem Minister der Finanzen die durchzuführenden Maßnahmen, die Förderungsvoraussetzungen sowie Art und Höhe der Förderung durch Anordnung im einzelnen zu bestimmen.</w:t>
      </w:r>
    </w:p>
    <w:p>
      <w:r>
        <w:t xml:space="preserve">(3) Absatz 1 steht einer landesrechtlichen Ergänzung einer auf Grund des Absatzes 2 getroffenen Regelung nicht entgegen, sofern die sich daraus ergebenden Förderbeträge je Begünstigten proportional um nicht mehr als 53,846 vom Hundert ergänzt werden.</w:t>
      </w:r>
    </w:p>
    <w:p>
      <w:r>
        <w:rPr>
          <w:color w:val="555555"/>
          <w:sz w:val="17"/>
        </w:rPr>
        <w:t xml:space="preserve">Zitiervorschlag: § 1 ASLwApFG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https://recht.nulegal.eu/gesetze/ASLwApFG/1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