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ASG — Ausnahmen von der Zustimmungsbedürftigkeit</w:t>
      </w:r>
    </w:p>
    <w:p>
      <w:r>
        <w:rPr>
          <w:color w:val="555555"/>
          <w:sz w:val="18"/>
        </w:rPr>
        <w:t xml:space="preserve">Arbeitssicherstellungsgesetz</w:t>
      </w:r>
    </w:p>
    <w:p>
      <w:r>
        <w:rPr>
          <w:color w:val="555555"/>
          <w:sz w:val="18"/>
        </w:rPr>
        <w:t xml:space="preserve">Stand: 10.06.2019 (konsolidierte Textfassung, kein amtliches Inkrafttretensdatum)</w:t>
      </w:r>
    </w:p>
    <w:p>
      <w:r>
        <w:t xml:space="preserve">(1) Eine Zustimmung nach § 7 ist nicht erforderlich</w:t>
      </w:r>
    </w:p>
    <w:p>
      <w:pPr>
        <w:ind w:left="420"/>
      </w:pPr>
      <w:r>
        <w:t xml:space="preserve">1. bei Arbeitsverhältnissen auf bestimmte Zeit, wenn die Zeit abgelaufen ist,</w:t>
      </w:r>
    </w:p>
    <w:p>
      <w:pPr>
        <w:ind w:left="420"/>
      </w:pPr>
      <w:r>
        <w:t xml:space="preserve">2. bei gelegentlichen Dienstleistungen oder Beschäftigungen gegen geringfügiges Entgelt, die der Krankenversicherungspflicht nicht unterliegen.</w:t>
      </w:r>
    </w:p>
    <w:p>
      <w:r>
        <w:t xml:space="preserve">(2) Die Bundesagentur für Arbeit kann Arbeitnehmer und Arbeitgeber bestimmter Betriebe und Bereiche von der Verpflichtung befreien, vor Lösung eines Arbeitsverhältnisses die Zustimmung der Agentur für Arbeit einzuholen. Die Befreiung ist dem Arbeitgeber und dem Betriebsrat (Personalrat) schriftlich mitzuteilen. Der Arbeitgeber hat sie den Arbeitnehmern auf betriebsübliche Weise bekanntzumachen. Die Befreiung kann befristet und für bestimmte Betriebsabteilungen erteilt werden; sie ist jederzeit widerruflich.</w:t>
      </w:r>
    </w:p>
    <w:p>
      <w:r>
        <w:rPr>
          <w:color w:val="555555"/>
          <w:sz w:val="17"/>
        </w:rPr>
        <w:t xml:space="preserve">Zitiervorschlag: § 8 ASG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