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ASG — Befreiungen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2 gilt nicht für</w:t>
      </w:r>
    </w:p>
    <w:p>
      <w:pPr>
        <w:ind w:left="420"/>
      </w:pPr>
      <w:r>
        <w:t xml:space="preserve">1. schwerbehinderte Menschen im Sinne des § 2 Abs. 2 des Neunten Buches Sozialgesetzbuch,</w:t>
      </w:r>
    </w:p>
    <w:p>
      <w:pPr>
        <w:ind w:left="420"/>
      </w:pPr>
      <w:r>
        <w:t xml:space="preserve">2. sonstige Personen, deren Minderung der Erwerbsfähigkeit oder deren Grad der Schädigungsfolgen nicht nur vorübergehend mindestens 50 beträgt,</w:t>
      </w:r>
    </w:p>
    <w:p>
      <w:pPr>
        <w:ind w:left="420"/>
      </w:pPr>
      <w:r>
        <w:t xml:space="preserve">3. Personen, die hilfsbedürftige Angehörige oder andere hilfsbedürftige Personen aus rechtlicher oder sittlicher Verpflichtung zu pflegen haben, es sei denn, daß die erforderliche Pflege gewährleistet ist,</w:t>
      </w:r>
    </w:p>
    <w:p>
      <w:pPr>
        <w:ind w:left="420"/>
      </w:pPr>
      <w:r>
        <w:t xml:space="preserve">4. Mitglieder oberster Verfassungsorgane des Bundes und der Länder,</w:t>
      </w:r>
    </w:p>
    <w:p>
      <w:pPr>
        <w:ind w:left="420"/>
      </w:pPr>
      <w:r>
        <w:t xml:space="preserve">5. Richter auf Lebenszeit oder auf Zeit,</w:t>
      </w:r>
    </w:p>
    <w:p>
      <w:pPr>
        <w:ind w:left="420"/>
      </w:pPr>
      <w:r>
        <w:t xml:space="preserve">6. ordinierte Geistliche evangelischen Bekenntnisses,</w:t>
      </w:r>
    </w:p>
    <w:p>
      <w:pPr>
        <w:ind w:left="420"/>
      </w:pPr>
      <w:r>
        <w:t xml:space="preserve">7. Geistliche römisch-katholischen Bekenntnisses, die die Subdiakonatsweihe empfangen haben,</w:t>
      </w:r>
    </w:p>
    <w:p>
      <w:pPr>
        <w:ind w:left="420"/>
      </w:pPr>
      <w:r>
        <w:t xml:space="preserve">8. hauptamtlich tätige Geistliche anderer Bekenntnisse, deren Amt dem eines ordinierten Geistlichen evangelischen oder eines Geistlichen römisch-katholischen Bekenntnisses, der die Subdiakonatsweihe empfangen hat, entspricht.</w:t>
      </w:r>
    </w:p>
    <w:p>
      <w:r>
        <w:t xml:space="preserve">(2) § 2 Nr. 2 und 3 gilt nicht für Mitglieder der Betriebs- und Personalräte.</w:t>
      </w:r>
    </w:p>
    <w:p>
      <w:r>
        <w:t xml:space="preserve">(3) § 2 Nr. 2 und 3 gilt nicht für Personen, deren Verpflichtung einen bereits weitgehend geförderten Ausbildungsabschnitt unterbrechen würde, wenn dies für sie eine unzumutbare Härte bedeutet.</w:t>
      </w:r>
    </w:p>
    <w:p>
      <w:r>
        <w:t xml:space="preserve">(4) § 2 Nr. 1 und 3 gilt nicht für Frauen vom Beginn der Schwangerschaft an bis vier Monate nach der Niederkunft sowie Frauen mit einem Kind unter 15 Jahren, das mit ihnen in häuslicher Gemeinschaft lebt.</w:t>
      </w:r>
    </w:p>
    <w:p>
      <w:r>
        <w:t xml:space="preserve">(5) Das Bundesministerium für Arbeit und Soziales kann durch Rechtsverordnung weitere Personengruppen von der Anwendung des § 2 Nr. 2 und 3 befreien, wenn die Fortführung ihrer Tätigkeit oder Berufsausbildung im öffentlichen Interesse liegt und mit der Verpflichtung nach dieser Vorschrift unvereinbar ist.</w:t>
      </w:r>
    </w:p>
    <w:p>
      <w:r>
        <w:rPr>
          <w:color w:val="555555"/>
          <w:sz w:val="17"/>
        </w:rPr>
        <w:t xml:space="preserve">Zitiervorschlag: § 5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