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ASG — Rechtsverordnung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Für Arbeitnehmer bei der Bundeswehr und den verbündeten Streitkräften sowie bei Gesellschaften im Sinne von § 4 Absatz 1 Satz 1 Nummer 1a und bei sonstigen Unternehmen im Sinne von § 4 Absatz 1 Satz 1 Nummer 1b, deren Leistungserbringung im Rahmen von Vertragsverhältnissen zur Versorgung der Bundeswehr und der verbündeten Streitkräfte erforderlich ist, gelten § 7 Absatz 1, § 9 Absatz 1 und 2 sowie § 32 Absatz 1 Nummer 1 und Absatz 4 mit der Maßgabe, dass an die Stelle der Agentur für Arbeit die vom Bundesministerium der Verteidigung durch Rechtsverordnung bestimmte Stelle tritt.</w:t>
      </w:r>
    </w:p>
    <w:p>
      <w:r>
        <w:t xml:space="preserve">(2) Die Rechtsverordnung bedarf nicht der Zustimmung des Bundesrates.</w:t>
      </w:r>
    </w:p>
    <w:p>
      <w:r>
        <w:rPr>
          <w:color w:val="555555"/>
          <w:sz w:val="17"/>
        </w:rPr>
        <w:t xml:space="preserve">Zitiervorschlag: § 38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