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31c ASG — Zweck der Verarbeitung und Löschung der Daten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(1) Die nach § 15d des Wehrpflichtgesetzes und den §§ 31a und 31b dieses Gesetzes erhobenen Daten dürfen durch die Bundesagentur für Arbeit ausschließlich zur Erfüllung der Aufgaben nach diesem Gesetz verarbeitet werden.</w:t>
      </w:r>
    </w:p>
    <w:p>
      <w:r>
        <w:t xml:space="preserve">(2) Die nach § 15d des Wehrpflichtgesetzes und den §§ 31a und 31b dieses Gesetzes erhobenen Daten einer Person sind zu löschen, wenn die jeweilige Person das in § 31a Absatz 1 oder 2 genannte Lebensjahr vollendet hat.</w:t>
      </w:r>
    </w:p>
    <w:p>
      <w:r>
        <w:t xml:space="preserve">(3) Die nach § 15d des Wehrpflichtgesetzes und den §§ 31a und 31b dieses Gesetzes erhobenen Daten einer Person sind nach Beendigung des Verteidigungsfalls oder eines Falls nach Maßgabe von Artikel 80a Absatz 1 des Grundgesetzes zu löschen, soweit diese nicht für aufgrund dieses Gesetzes begründete individuelle Rechtsverhältnisse weiter erforderlich sind.</w:t>
      </w:r>
    </w:p>
    <w:p>
      <w:r>
        <w:rPr>
          <w:color w:val="555555"/>
          <w:sz w:val="17"/>
        </w:rPr>
        <w:t xml:space="preserve">Zitiervorschlag: § 31c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https://recht.nulegal.eu/gesetze/ASG/31c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