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31a ASG — Datenübermittlung von den Meldebehörden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15.01.2026 (konsolidierte Textfassung, kein amtliches Inkrafttretensdatum)</w:t>
      </w:r>
    </w:p>
    <w:p>
      <w:r>
        <w:t xml:space="preserve">(1) Die Bundesagentur für Arbeit ist berechtigt, im Verteidigungsfall und nach Maßgabe von Artikel 80a Absatz 1 des Grundgesetzes die folgenden Daten aller männlichen Personen vom vollendeten 18. Lebensjahr bis zum Ablauf des Jahres, in dem die Person das 60. Lebensjahr vollendet, bei den Meldebehörden abzurufen:</w:t>
      </w:r>
    </w:p>
    <w:p>
      <w:pPr>
        <w:ind w:left="420"/>
      </w:pPr>
      <w:r>
        <w:t xml:space="preserve">1. Familienname,</w:t>
      </w:r>
    </w:p>
    <w:p>
      <w:pPr>
        <w:ind w:left="420"/>
      </w:pPr>
      <w:r>
        <w:t xml:space="preserve">2. Vornamen,</w:t>
      </w:r>
    </w:p>
    <w:p>
      <w:pPr>
        <w:ind w:left="420"/>
      </w:pPr>
      <w:r>
        <w:t xml:space="preserve">3. Geburtsdatum und Geburtsort,</w:t>
      </w:r>
    </w:p>
    <w:p>
      <w:pPr>
        <w:ind w:left="420"/>
      </w:pPr>
      <w:r>
        <w:t xml:space="preserve">4. derzeitige Staatsangehörigkeiten,</w:t>
      </w:r>
    </w:p>
    <w:p>
      <w:pPr>
        <w:ind w:left="420"/>
      </w:pPr>
      <w:r>
        <w:t xml:space="preserve">5. derzeitige Anschriften, gekennzeichnet nach Haupt- und Nebenwohnung.</w:t>
      </w:r>
    </w:p>
    <w:p>
      <w:r>
        <w:t xml:space="preserve">(2) Die Bundesagentur für Arbeit ist berechtigt, im Verteidigungsfall die in Absatz 1 Satz 1 genannten Daten aller weiblichen Personen vom vollendeten 18. Lebensjahr bis zum vollendeten 55. Lebensjahr bei den Meldebehörden abzurufen.</w:t>
      </w:r>
    </w:p>
    <w:p>
      <w:r>
        <w:t xml:space="preserve">(3) Ist der Datenabruf nicht möglich, so erfolgt die Datenübermittlung durch elektronische Datenübertragung nach § 34 Absatz 2 Satz 1 Nummer 2 des Bundesmeldegesetzes.</w:t>
      </w:r>
    </w:p>
    <w:p>
      <w:r>
        <w:rPr>
          <w:color w:val="555555"/>
          <w:sz w:val="17"/>
        </w:rPr>
        <w:t xml:space="preserve">Zitiervorschlag: § 31a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