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ASG — Rechtsweg</w:t>
      </w:r>
    </w:p>
    <w:p>
      <w:r>
        <w:rPr>
          <w:color w:val="555555"/>
          <w:sz w:val="18"/>
        </w:rPr>
        <w:t xml:space="preserve">Arbeitssicherstellungsgesetz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Rechtsstreitigkeiten über Maßnahmen nach diesem Gesetz oder einer auf diesem Gesetz beruhenden Rechtsverordnung ist der Verwaltungsrechtsweg gegeben.</w:t>
      </w:r>
    </w:p>
    <w:p>
      <w:r>
        <w:t xml:space="preserve">(2) Widerspruch und Anfechtungsklage haben keine aufschiebende Wirkung.</w:t>
      </w:r>
    </w:p>
    <w:p>
      <w:r>
        <w:t xml:space="preserve">(3) Absatz 2 gilt nicht für Rechtsstreitigkeiten über Leistungen nach § 17 dieses Gesetzes.</w:t>
      </w:r>
    </w:p>
    <w:p>
      <w:r>
        <w:rPr>
          <w:color w:val="555555"/>
          <w:sz w:val="17"/>
        </w:rPr>
        <w:t xml:space="preserve">Zitiervorschlag: § 27 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