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ASG — Rentenversicherung Entgelt und Beiträge</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Bei Personen, die während ihrer Verpflichtung in ein Arbeitsverhältnis in der gesetzlichen Rentenversicherung pflichtversichert sind, gelten auch die Leistungen nach § 16, welche die laufenden Geldbezüge aus dem Arbeitsverhältnis übersteigen, und die Unterschiedsbeträge nach § 17 Abs. 1 als Entgelt, wenn diese Personen bereits im Zeitpunkt ihrer Verpflichtung in der gesetzlichen Rentenversicherung pflichtversichert waren. Für Handwerker, die in die Handwerksrolle eingetragen sind, gilt Satz 1 nicht.</w:t>
      </w:r>
    </w:p>
    <w:p>
      <w:r>
        <w:t xml:space="preserve">(2) Der bisherige Dienstherr oder Arbeitgeber und der Versicherte tragen für die Leistungen nach § 16, welche die laufenden Geldbezüge aus dem Arbeitsverhältnis übersteigen, die Pflichtbeiträge zur allgemeinen Rentenversicherung je zur Hälfte und die Pflichtbeiträge zur knappschaftlichen Rentenversicherung nach dem im Sechsten Buch Sozialgesetzbuch hierfür bestimmten Verhältnis. Die auf die Unterschiedsbeträge nach § 17 Abs. 1 entfallenden Pflichtbeiträge trägt der Bund.</w:t>
      </w:r>
    </w:p>
    <w:p>
      <w:r>
        <w:t xml:space="preserve">(3) und (4)</w:t>
      </w:r>
    </w:p>
    <w:p>
      <w:r>
        <w:rPr>
          <w:color w:val="555555"/>
          <w:sz w:val="17"/>
        </w:rPr>
        <w:t xml:space="preserve">Zitiervorschlag: § 22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