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ASG — Einfluß der Verpflichtung auf ein Dienst- oder Arbeitsverhältnis im öffentlichen Dienst</w:t>
      </w:r>
    </w:p>
    <w:p>
      <w:r>
        <w:rPr>
          <w:color w:val="555555"/>
          <w:sz w:val="18"/>
        </w:rPr>
        <w:t xml:space="preserve">Arbeitssicherstellungsgesetz</w:t>
      </w:r>
    </w:p>
    <w:p>
      <w:r>
        <w:rPr>
          <w:color w:val="555555"/>
          <w:sz w:val="18"/>
        </w:rPr>
        <w:t xml:space="preserve">Stand: 10.01.2020 (konsolidierte Textfassung, kein amtliches Inkrafttretensdatum)</w:t>
      </w:r>
    </w:p>
    <w:p>
      <w:r>
        <w:t xml:space="preserve">(1) Wird ein Beamter oder ein Richter auf Probe in ein Arbeitsverhältnis verpflichtet, so ist er für die Dauer der Verpflichtung mit Dienstbezügen oder Unterhaltszuschuß beurlaubt; § 9 Abs. 3 bis 11 des Arbeitsplatzschutzgesetzes gilt entsprechend, Absatz 8 nur, soweit er die Einberufung zu Wehrübungen betrifft, und Absatz 9, soweit er auf § 4 Abs. 1, 2 und 4 verweist. Für einen Lehrer an einer privaten genehmigten Ersatzschule, der nach § 6 Abs. 1 Nr. 5 des Fünften Buches Sozialgesetzbuch versicherungsfrei ist, gilt Satz 1 entsprechend.</w:t>
      </w:r>
    </w:p>
    <w:p>
      <w:r>
        <w:t xml:space="preserve">(2) Wird ein Arbeitnehmer des öffentlichen Dienstes in ein Arbeitsverhältnis verpflichtet, so hat der Arbeitgeber des fortbestehenden Arbeitsverhältnisses für die Dauer der Verpflichtung das Arbeitsentgelt weiterzuzahlen. Nach dem Ende der Verpflichtung ist das Arbeitsentgelt weiterzuzahlen, solange Krankengeld aus der gesetzlichen Krankenversicherung oder entsprechende Leistungen aus der gesetzlichen Unfallversicherung gewährt werden; insgesamt darf der Arbeitnehmer bei Arbeitsunfähigkeit nicht mehr erhalten, als er erhalten würde, wenn er nicht in ein Arbeitsverhältnis verpflichtet worden wäre. Für das fortbestehende Arbeitsverhältnis gelten § 1 Abs. 1, 4 und 5, die §§ 2, 3, 4 Abs. 1 bis 4, die §§ 5, 6, 12, 13 und 14a Absatz 1 des Arbeitsplatzschutzgesetzes entsprechend.</w:t>
      </w:r>
    </w:p>
    <w:p>
      <w:r>
        <w:t xml:space="preserve">(3) Auf die nach den Absätzen 1 und 2 weiter zu gewährenden Dienstbezüge, Unterhaltszuschüsse, Vergütungen oder Arbeitsentgelte werden die dem verpflichteten Arbeitnehmer gewährten laufenden Geldbezüge aus dem Arbeitsverhältnis angerechnet. Diesen Geldbezügen stehen gleich das Krankengeld aus der gesetzlichen Krankenversicherung, entsprechende Leistungen aus der gesetzlichen Unfallversicherung, das Kurzarbeitergeld und das Schlechtwettergeld.</w:t>
      </w:r>
    </w:p>
    <w:p>
      <w:r>
        <w:rPr>
          <w:color w:val="555555"/>
          <w:sz w:val="17"/>
        </w:rPr>
        <w:t xml:space="preserve">Zitiervorschlag: § 16 ASG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