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ASG — Einfluß der Verpflichtung auf ein Arbeits- oder Vertragsverhältnis in der privaten Wirtschaft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Wird ein Arbeitnehmer in ein Arbeitsverhältnis verpflichtet, so ruht sein bisheriges Arbeitsverhältnis während der Dauer der Verpflichtung. § 1 Absatz 4 und 5, die §§ 2, 3 und 4 Absatz 1 Satz 1, Absatz 2 bis 4, die §§ 5, 6, 12 Absatz 1 und § 13 des Arbeitsplatzschutzgesetzes gelten entsprechend; § 14a Absatz 3 und § 14b Absatz 1 des Arbeitsplatzschutzgesetzes gelten mit der Maßgabe entsprechend, dass der neue Arbeitgeber erstattungspflichtig ist. Dieser darf etwaige Arbeitnehmeranteile von dem Arbeitsentgelt der verpflichteten Personen einbehalten.</w:t>
      </w:r>
    </w:p>
    <w:p>
      <w:r>
        <w:t xml:space="preserve">(2) Für in Heimarbeit Beschäftigte und für Handelsvertreter gelten die §§ 7 und 8 des Arbeitsplatzschutzgesetzes entsprechend.</w:t>
      </w:r>
    </w:p>
    <w:p>
      <w:r>
        <w:rPr>
          <w:color w:val="555555"/>
          <w:sz w:val="17"/>
        </w:rPr>
        <w:t xml:space="preserve">Zitiervorschlag: § 15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