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ASEG NRW (Nordrhein-Westfalen) — Inkrafttreten</w:t>
      </w:r>
    </w:p>
    <w:p>
      <w:r>
        <w:rPr>
          <w:color w:val="555555"/>
          <w:sz w:val="18"/>
        </w:rPr>
        <w:t xml:space="preserve">Altschuldenentlastungsgesetz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Für die Ministerin für Wirtschaft, Industrie, Klimaschutz und Energie</w:t>
      </w:r>
    </w:p>
    <w:p>
      <w:r>
        <w:t xml:space="preserve">Der Minister der Justiz</w:t>
      </w:r>
    </w:p>
    <w:p>
      <w:r>
        <w:t xml:space="preserve">Der Minister der Finanzen</w:t>
      </w:r>
    </w:p>
    <w:p>
      <w:r>
        <w:t xml:space="preserve">Die Ministerin für Heimat, Kommunales, Bau und Digitalisierung</w:t>
      </w:r>
    </w:p>
    <w:p>
      <w:r>
        <w:rPr>
          <w:color w:val="555555"/>
          <w:sz w:val="17"/>
        </w:rPr>
        <w:t xml:space="preserve">Zitiervorschlag: § 9 ASEG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https://recht.nulegal.eu/gesetze/ASEG%20NRW/9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