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ASEG NRW (Nordrhein-Westfalen) — Ausführung des Gesetzes</w:t>
      </w:r>
    </w:p>
    <w:p>
      <w:r>
        <w:rPr>
          <w:color w:val="555555"/>
          <w:sz w:val="18"/>
        </w:rPr>
        <w:t xml:space="preserve">Altschuldenentlastungsgesetz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Kommunales zuständige Ministerium wird ermächtigt, im Einvernehmen mit dem für Finanzen zuständigen Ministerium durch Rechtsverordnung oder Verwaltungsvorschrift nähere Bestimmungen zur Durchführung dieses Gesetzes zu erlassen.</w:t>
      </w:r>
    </w:p>
    <w:p>
      <w:r>
        <w:rPr>
          <w:color w:val="555555"/>
          <w:sz w:val="17"/>
        </w:rPr>
        <w:t xml:space="preserve">Zitiervorschlag: § 8 ASEG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https://recht.nulegal.eu/gesetze/ASEG%20NRW/8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