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ASEG NRW (Nordrhein-Westfalen) — Umfang der anteiligen Entschuldung</w:t>
      </w:r>
    </w:p>
    <w:p>
      <w:r>
        <w:rPr>
          <w:color w:val="555555"/>
          <w:sz w:val="18"/>
        </w:rPr>
        <w:t xml:space="preserve">Altschuldenentlastungsgesetz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Allen teilnehmenden Kommunen wird ein einheitlicher Anteilswert ihrer übermäßigen Verbindlichkeiten zur Liquiditätssicherung durch das Land Nordrhein-Westfalen abgenommen (Mindestentschuldung). Sofern eine teilnehmende Kommune nach der Mindestentschuldung übermäßige Verbindlichkeiten zur Liquiditätssicherung von mehr als 1 500 Euro je Einwohnerin und Einwohner aufweist, werden die übermäßigen Verbindlichkeiten zur Liquiditätssicherung oberhalb dieses Betrages vollständig von dem Land Nordrhein-Westfalen übernommen (Spitzenentschuldung).</w:t>
      </w:r>
    </w:p>
    <w:p>
      <w:r>
        <w:t xml:space="preserve">(2) Die Ermittlung des Mindestentschuldungstarifes erfolgt auf der Grundlage eines iterativen Rechenverfahrens, bei dem sichergestellt wird, dass alle nachfolgenden Voraussetzungen erfüllt sind:</w:t>
      </w:r>
    </w:p>
    <w:p>
      <w:r>
        <w:t xml:space="preserve">1. in Summe werden 50 Prozent der von den teilnehmenden Kommunen insgesamt als übermäßig anerkannten Verbindlichkeiten zur Liquiditätssicherung in die Schuld des Landes Nordrhein-Westfalen übernommen,</w:t>
      </w:r>
    </w:p>
    <w:p>
      <w:r>
        <w:t xml:space="preserve">2 bei keiner teilnehmenden Kommune unterschreitet der Anteilswert der zu übernehmenden übermäßigen Verbindlichkeiten zur Liquiditätssicherung den Mindestentschuldungstarif und</w:t>
      </w:r>
    </w:p>
    <w:p>
      <w:r>
        <w:t xml:space="preserve">3. bei keiner teilnehmenden Kommune übersteigt das nach der Übernahme verbleibende Gesamtvolumen der übermäßigen Verbindlichkeiten zur Liquiditätssicherung den Höchstbetrag von 1 500 Euro je Einwohnerin und Einwohner.</w:t>
      </w:r>
    </w:p>
    <w:p>
      <w:r>
        <w:rPr>
          <w:color w:val="555555"/>
          <w:sz w:val="17"/>
        </w:rPr>
        <w:t xml:space="preserve">Zitiervorschlag: § 5 ASEG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https://recht.nulegal.eu/gesetze/ASEG%20NRW/5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