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ASEG NRW (Nordrhein-Westfalen) — Grundsätze</w:t>
      </w:r>
    </w:p>
    <w:p>
      <w:r>
        <w:rPr>
          <w:color w:val="555555"/>
          <w:sz w:val="18"/>
        </w:rPr>
        <w:t xml:space="preserve">Altschuldenentlastungsgesetz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Nordrhein-Westfalen organisiert im Zusammenwirken mit den teilnehmenden Kommunen eine anteilige Entschuldung von deren Verbindlichkeiten zur Liquiditätssicherung im Wege der Schuldübernahme. Dabei finden gleiche, für alle Kommunen geltende Maßstäbe Anwendung.</w:t>
      </w:r>
    </w:p>
    <w:p>
      <w:r>
        <w:t xml:space="preserve">(2) Die Teilnahme an dem Landesprogramm zur anteiligen Entschuldung von kommunalen Verbindlichkeiten zur Liquiditätssicherung ist freiwillig und erfolgt auf Antrag der antragsberechtigten Kommunen.</w:t>
      </w:r>
    </w:p>
    <w:p>
      <w:r>
        <w:t xml:space="preserve">(3) Die anteilige Entschuldung durch das Land erfolgt nur, soweit die Kommune ihre Verbindlichkeiten zur Liquiditätssicherung nicht aufgrund eigener Finanzkraft selbstständig zurückführen kann.</w:t>
      </w:r>
    </w:p>
    <w:p>
      <w:r>
        <w:t xml:space="preserve">(4) Kommunen im Sinne dieses Gesetzes sind die Gemeinden und Kreise im Land Nordrhein-Westfalen.</w:t>
      </w:r>
    </w:p>
    <w:p>
      <w:r>
        <w:rPr>
          <w:color w:val="555555"/>
          <w:sz w:val="17"/>
        </w:rPr>
        <w:t xml:space="preserve">Zitiervorschlag: § 2 ASEG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https://recht.nulegal.eu/gesetze/ASEG%20NRW/2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