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ARegV — Regulierungsformel</w:t>
      </w:r>
    </w:p>
    <w:p>
      <w:r>
        <w:rPr>
          <w:color w:val="555555"/>
          <w:sz w:val="18"/>
        </w:rPr>
        <w:t xml:space="preserve">Anreizregulierungsverordnung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Bestimmung der Erlösobergrenzen für die Netzbetreiber erfolgt in Anwendung der jeweiligen Regulierungsformel in Anlage 1.</w:t>
      </w:r>
    </w:p>
    <w:p>
      <w:r>
        <w:rPr>
          <w:color w:val="555555"/>
          <w:sz w:val="17"/>
        </w:rPr>
        <w:t xml:space="preserve">Zitiervorschlag: § 7 ARegV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https://recht.nulegal.eu/gesetze/ARegV/7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