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ARegV — Erlösobergrenzen</w:t>
      </w:r>
    </w:p>
    <w:p>
      <w:r>
        <w:rPr>
          <w:color w:val="555555"/>
          <w:sz w:val="18"/>
        </w:rPr>
        <w:t xml:space="preserve">Anreizregulierungsverordnung</w:t>
      </w:r>
    </w:p>
    <w:p>
      <w:r>
        <w:rPr>
          <w:color w:val="555555"/>
          <w:sz w:val="18"/>
        </w:rPr>
        <w:t xml:space="preserve">Stand: 01.04.2022 (konsolidierte Textfassung, kein amtliches Inkrafttretensdatum)</w:t>
      </w:r>
    </w:p>
    <w:p>
      <w:r>
        <w:t xml:space="preserve">(1) Die Erlösobergrenzen werden nach Maßgabe der §§ 5 bis 17, 19, 22 und 24 bestimmt.</w:t>
      </w:r>
    </w:p>
    <w:p>
      <w:r>
        <w:t xml:space="preserve">(2) Die Erlösobergrenze ist für jedes Kalenderjahr der gesamten Regulierungsperiode zu bestimmen. Eine Anpassung der Erlösobergrenze während der laufenden Regulierungsperiode erfolgt nach Maßgabe der Absätze 3 bis 5.</w:t>
      </w:r>
    </w:p>
    <w:p>
      <w:r>
        <w:t xml:space="preserve">(3) Eine Anpassung der Erlösobergrenze erfolgt jeweils zum 1. Januar eines Kalenderjahres bei einer Änderung</w:t>
      </w:r>
    </w:p>
    <w:p>
      <w:pPr>
        <w:ind w:left="420"/>
      </w:pPr>
      <w:r>
        <w:t xml:space="preserve">1. des Verbraucherpreisgesamtindexes nach § 8,</w:t>
      </w:r>
    </w:p>
    <w:p>
      <w:pPr>
        <w:ind w:left="420"/>
      </w:pPr>
      <w:r>
        <w:t xml:space="preserve">2. von nicht beeinflussbaren Kostenanteilen nach § 11 Absatz 2 Satz 1 bis 3; abzustellen ist dabei auf die jeweils im vorletzten Kalenderjahr entstandenen Kosten; bei Kostenanteilen nach § 11 Absatz 2 Satz 1 Nummer 4 bis 6a, 8, 13 und 15 bis 18 ist auf das Kalenderjahr abzustellen, auf das die Erlösobergrenze anzuwenden sein soll,</w:t>
      </w:r>
    </w:p>
    <w:p>
      <w:pPr>
        <w:ind w:left="420"/>
      </w:pPr>
      <w:r>
        <w:t xml:space="preserve">3. von volatilen Kostenanteilen nach § 11 Absatz 5; abzustellen ist dabei auf das Kalenderjahr, auf das die Erlösobergrenze Anwendung finden soll.</w:t>
      </w:r>
    </w:p>
    <w:p>
      <w:r>
        <w:t xml:space="preserve">Einer erneuten Festlegung der Erlösobergrenze bedarf es in diesen Fällen nicht.</w:t>
      </w:r>
    </w:p>
    <w:p>
      <w:r>
        <w:t xml:space="preserve">(4) Auf Antrag des Netzbetreibers</w:t>
      </w:r>
    </w:p>
    <w:p>
      <w:pPr>
        <w:ind w:left="420"/>
      </w:pPr>
      <w:r>
        <w:t xml:space="preserve">1. erfolgt eine Anpassung der Erlösobergrenze nach Maßgabe des § 10 oder § 10a;</w:t>
      </w:r>
    </w:p>
    <w:p>
      <w:pPr>
        <w:ind w:left="420"/>
      </w:pPr>
      <w:r>
        <w:t xml:space="preserve">1a. erfolgt eine Anpassung der Erlösobergrenze nach Maßgabe des § 5;</w:t>
      </w:r>
    </w:p>
    <w:p>
      <w:pPr>
        <w:ind w:left="420"/>
      </w:pPr>
      <w:r>
        <w:t xml:space="preserve">2. kann eine Anpassung der Erlösobergrenze erfolgen, wenn auf Grund des Eintritts eines unvorhersehbaren Ereignisses im Falle der Beibehaltung der Erlösobergrenze eine nicht zumutbare Härte für den Netzbetreiber entstehen würde.</w:t>
      </w:r>
    </w:p>
    <w:p>
      <w:r>
        <w:t xml:space="preserve">Der Antrag auf Anpassung nach Satz 1 Nr. 1 kann einmal jährlich zum 30. Juni des Kalenderjahres gestellt werden; die Anpassung erfolgt zum 1. Januar des folgenden Kalenderjahres. Der Antrag auf Anpassung nach Satz 1 Nummer 1a muss einmal jährlich zum 31. Dezember des Kalenderjahres gestellt werden; die Anpassung erfolgt zum 1. Januar des übernächsten Jahres.</w:t>
      </w:r>
    </w:p>
    <w:p>
      <w:r>
        <w:t xml:space="preserve">(5) Erfolgt eine Bestimmung des Qualitätselements nach Maßgabe des § 19, so hat die Regulierungsbehörde von Amts wegen die Erlösobergrenze entsprechend anzupassen. Satz 1 ist auf den Zu- oder Abschlag nach § 17, der im auf das Geltungsjahr folgenden Kalenderjahr ermittelt wird, entsprechend anzuwenden. Die Anpassungen nach den Sätzen 1 und 2 erfolgen höchstens einmal jährlich zum 1. Januar des folgenden Kalenderjahres.</w:t>
      </w:r>
    </w:p>
    <w:p>
      <w:r>
        <w:rPr>
          <w:color w:val="555555"/>
          <w:sz w:val="17"/>
        </w:rPr>
        <w:t xml:space="preserve">Zitiervorschlag: § 4 ARegV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https://recht.nulegal.eu/gesetze/ARegV/4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