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ARegV — Festlegungen oder Genehmigungen der Regulierungsbehörde</w:t>
      </w:r>
    </w:p>
    <w:p>
      <w:r>
        <w:rPr>
          <w:color w:val="555555"/>
          <w:sz w:val="18"/>
        </w:rPr>
        <w:t xml:space="preserve">Anreizregulierungsverordnung</w:t>
      </w:r>
    </w:p>
    <w:p>
      <w:r>
        <w:rPr>
          <w:color w:val="555555"/>
          <w:sz w:val="18"/>
        </w:rPr>
        <w:t xml:space="preserve">Stand: 10.08.2021 (konsolidierte Textfassung, kein amtliches Inkrafttretensdatum)</w:t>
      </w:r>
    </w:p>
    <w:p>
      <w:r>
        <w:t xml:space="preserve">(1) Zur Verwirklichung eines effizienten Netzzugangs und der in § 1 Abs. 1 des Energiewirtschaftsgesetzes genannten Zwecke kann die Regulierungsbehörde Entscheidungen durch Festlegungen oder Genehmigungen nach § 29 Abs. 1 des Energiewirtschaftsgesetzes treffen</w:t>
      </w:r>
    </w:p>
    <w:p>
      <w:pPr>
        <w:ind w:left="420"/>
      </w:pPr>
      <w:r>
        <w:t xml:space="preserve">1. zu den Erlösobergrenzen nach § 4, insbesondere zur Bestimmung der Höhe nach § 4 Abs. 1 und 2, zur Anpassung nach Abs. 3 bis 5, zu Form und Inhalt der Anträge auf Anpassung nach Abs. 4,</w:t>
      </w:r>
    </w:p>
    <w:p>
      <w:pPr>
        <w:ind w:left="420"/>
      </w:pPr>
      <w:r>
        <w:t xml:space="preserve">2. zu Ausgestaltung und Ausgleich des Regulierungskontos nach § 5,</w:t>
      </w:r>
    </w:p>
    <w:p>
      <w:pPr>
        <w:ind w:left="420"/>
      </w:pPr>
      <w:r>
        <w:t xml:space="preserve">2a. zur Ermittlung des generellen sektoralen Produktivitätsfaktors nach § 9,</w:t>
      </w:r>
    </w:p>
    <w:p>
      <w:pPr>
        <w:ind w:left="420"/>
      </w:pPr>
      <w:r>
        <w:t xml:space="preserve">3. zur Verwendung anderer Parameter zur Ermittlung des Erweiterungsfaktors nach § 10 Abs. 2 Satz 2 Nr. 4,</w:t>
      </w:r>
    </w:p>
    <w:p>
      <w:pPr>
        <w:ind w:left="420"/>
      </w:pPr>
      <w:r>
        <w:t xml:space="preserve">3a. zum Kapitalkostenaufschlag nach § 10a, einschließlich der formellen Gestaltung, Inhalt und Struktur des Antrags,</w:t>
      </w:r>
    </w:p>
    <w:p>
      <w:pPr>
        <w:ind w:left="420"/>
      </w:pPr>
      <w:r>
        <w:t xml:space="preserve">4. zu den Bereichen, die nach § 11 Abs. 2 Satz 2 bis 4 einer wirksamen Verfahrensregulierung unterliegen; die Festlegung erfolgt für die Dauer der gesamten Regulierungsperiode,</w:t>
      </w:r>
    </w:p>
    <w:p>
      <w:pPr>
        <w:ind w:left="420"/>
      </w:pPr>
      <w:r>
        <w:t xml:space="preserve">4a. zu volatilen Kostenanteilen gemäß § 11 Absatz 5, insbesondere zum Verfahren, mit dem den Netzbetreibern oder einer Gruppe von Netzbetreibern Anreize gesetzt werden, die gewährleisten, dass volatile Kostenanteile nur in effizientem Umfang in der Erlösobergrenze berücksichtigt werden, sowie zu den Voraussetzungen, unter denen Kostenanteile als volatile Kostenanteile im Sinne des § 11 Absatz 5 gelten,</w:t>
      </w:r>
    </w:p>
    <w:p>
      <w:pPr>
        <w:ind w:left="420"/>
      </w:pPr>
      <w:r>
        <w:t xml:space="preserve">4b. zu der Geltendmachung der Kosten nach § 10 Absatz 1 und § 22 der Systemstabilitätsverordnung gemäß § 11 Absatz 2 Satz 1 Nummer 5, einschließlich der Verpflichtung zur Anpassung pauschaler Kostensätze,</w:t>
      </w:r>
    </w:p>
    <w:p>
      <w:pPr>
        <w:ind w:left="420"/>
      </w:pPr>
      <w:r>
        <w:t xml:space="preserve">5. zur Durchführung einer Vergleichbarkeitsrechnung nach § 14 Abs. 1 Nr. 3,</w:t>
      </w:r>
    </w:p>
    <w:p>
      <w:pPr>
        <w:ind w:left="420"/>
      </w:pPr>
      <w:r>
        <w:t xml:space="preserve">5a. zur Konkretisierung des Inhalts der Anlage 5,</w:t>
      </w:r>
    </w:p>
    <w:p>
      <w:pPr>
        <w:ind w:left="420"/>
      </w:pPr>
      <w:r>
        <w:t xml:space="preserve">6. über den Beginn der Anwendung, die nähere Ausgestaltung und das Verfahren der Bestimmung des Qualitätselements nach den §§ 19 und 20,</w:t>
      </w:r>
    </w:p>
    <w:p>
      <w:pPr>
        <w:ind w:left="420"/>
      </w:pPr>
      <w:r>
        <w:t xml:space="preserve">7. zu formeller Gestaltung, Inhalt und Struktur des Berichts zum Investitionsverhalten nach § 21,</w:t>
      </w:r>
    </w:p>
    <w:p>
      <w:pPr>
        <w:ind w:left="420"/>
      </w:pPr>
      <w:r>
        <w:t xml:space="preserve">8. zu Investitionsmaßnahmen nach § 23, einschließlich der formellen Gestaltung, Inhalt und Struktur des Antrags sowie zu finanziellen Anreizen nach § 23 Abs. 5 Satz 3, wobei auch die Zusammenfassung von Vorhaben verlangt werden kann, sowie zur Durchführung, näheren Ausgestaltung und zum Verfahren der Referenznetzanalyse,</w:t>
      </w:r>
    </w:p>
    <w:p>
      <w:pPr>
        <w:ind w:left="420"/>
      </w:pPr>
      <w:r>
        <w:t xml:space="preserve">8a. zur Berechnung der sich aus genehmigten Investitionsmaßnahmen ergebenden Kapital- und Betriebskosten,</w:t>
      </w:r>
    </w:p>
    <w:p>
      <w:pPr>
        <w:ind w:left="420"/>
      </w:pPr>
      <w:r>
        <w:t xml:space="preserve">8b. zu einer von § 23 Absatz 1a Satz 1 abweichenden Höhe oder Betriebskostenpauschale, soweit dies erforderlich ist, um strukturelle Besonderheiten von Investitionen, für die Investitionsmaßnahmen genehmigt werden können, oder um die tatsächliche Höhe der notwendigen Betriebskosten angemessen zu berücksichtigen,</w:t>
      </w:r>
    </w:p>
    <w:p>
      <w:pPr>
        <w:ind w:left="420"/>
      </w:pPr>
      <w:r>
        <w:t xml:space="preserve">8c. zur Höhe der Betriebskostenpauschale nach § 23 Absatz 1a Satz 2, wobei die tatsächliche Höhe der für die genehmigten Investitionsmaßnahmen notwendigen Betriebskosten angemessen zu berücksichtigen ist,</w:t>
      </w:r>
    </w:p>
    <w:p>
      <w:pPr>
        <w:ind w:left="420"/>
      </w:pPr>
      <w:r>
        <w:t xml:space="preserve">9. zur Teilnahme am vereinfachten Verfahren nach § 24 und zu Umfang, Zeitpunkt und Form des Antrags nach § 24 Abs. 4,</w:t>
      </w:r>
    </w:p>
    <w:p>
      <w:pPr>
        <w:ind w:left="420"/>
      </w:pPr>
      <w:r>
        <w:t xml:space="preserve">9a. zu formeller Gestaltung, Inhalt und Struktur des Antrags sowie zum Zeitpunkt der Stellung des Antrags nach § 25a Absatz 1,</w:t>
      </w:r>
    </w:p>
    <w:p>
      <w:pPr>
        <w:ind w:left="420"/>
      </w:pPr>
      <w:r>
        <w:t xml:space="preserve">10. zu formeller Gestaltung, Inhalt und Struktur des Antrags nach § 26 Abs. 2 sowie zu den Erlösobergrenzenanteilen nach § 26 Absatz 2 und 3 und</w:t>
      </w:r>
    </w:p>
    <w:p>
      <w:pPr>
        <w:ind w:left="420"/>
      </w:pPr>
      <w:r>
        <w:t xml:space="preserve">11. zu Umfang, Zeitpunkt und Form der nach den §§ 27 und 28 zu erhebenden und mitzuteilenden Daten, insbesondere zu den zulässigen Datenträgern und Übertragungswegen.</w:t>
      </w:r>
    </w:p>
    <w:p>
      <w:r>
        <w:t xml:space="preserve">(2) Die Bundesnetzagentur kann ferner Festlegungen treffen zur Durchführung, näheren Ausgestaltung und zu den Verfahren des Effizienzvergleichs und der relativen Referenznetzanalyse für Betreiber von Übertragungs- und Fernleitungsnetzen nach § 22. Die Bundesnetzagentur kann Festlegungen zur angemessenen Berücksichtigung eines zeitlichen Versatzes zwischen der Errichtung von Anlagen nach dem Erneuerbare-Energien-Gesetz sowie dem entsprechenden und notwendigen Ausbau der Verteilernetze im Effizienzvergleich treffen, soweit ein solcher zeitlicher Versatz Kosten nach § 11 Absatz 5 Satz 1 Nummer 2 hervorruft und auf Gründen außerhalb der Einflusssphäre von Verteilernetzbetreibern beruht.</w:t>
      </w:r>
    </w:p>
    <w:p>
      <w:r>
        <w:rPr>
          <w:color w:val="555555"/>
          <w:sz w:val="17"/>
        </w:rPr>
        <w:t xml:space="preserve">Zitiervorschlag: § 32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