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ARegV — Fehlende oder unzureichende Daten</w:t>
      </w:r>
    </w:p>
    <w:p>
      <w:r>
        <w:rPr>
          <w:color w:val="555555"/>
          <w:sz w:val="18"/>
        </w:rPr>
        <w:t xml:space="preserve">Anreizregulierungsverordnung</w:t>
      </w:r>
    </w:p>
    <w:p>
      <w:r>
        <w:rPr>
          <w:color w:val="555555"/>
          <w:sz w:val="18"/>
        </w:rPr>
        <w:t xml:space="preserve">Stand: 10.06.2019 (konsolidierte Textfassung, kein amtliches Inkrafttretensdatum)</w:t>
      </w:r>
    </w:p>
    <w:p>
      <w:r>
        <w:t xml:space="preserve">Soweit die für die Bestimmung der Erlösobergrenze nach § 4 Abs. 1, insbesondere für die Anwendung der Regulierungsformel nach § 7 und zur Durchführung des Effizienzvergleichs nach den §§ 12 bis 14 notwendigen Daten vor Beginn der Regulierungsperiode nicht rechtzeitig vorliegen, können die Daten für das letzte verfügbare Kalenderjahr verwendet werden. Soweit keine oder offenkundig unzutreffende Daten vorliegen, kann die Regulierungsbehörde die fehlenden Daten durch Schätzung oder durch eine Referenznetzanalyse unter Verwendung von bei der Regulierungsbehörde vorhandenen oder ihr bekannten Daten bestimmen. § 12 Abs. 4 Satz 2 und § 14 Abs. 3 Satz 4 und 5 bleiben unberührt.</w:t>
      </w:r>
    </w:p>
    <w:p>
      <w:r>
        <w:rPr>
          <w:color w:val="555555"/>
          <w:sz w:val="17"/>
        </w:rPr>
        <w:t xml:space="preserve">Zitiervorschlag: § 30 ARegV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https://recht.nulegal.eu/gesetze/ARegV/30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