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ARegV — Beginn und Dauer der Regulierungsperioden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erste Regulierungsperiode beginnt am 1. Januar 2009. Die nachfolgenden Regulierungsperioden beginnen jeweils am 1. Januar des auf das letzte Kalenderjahr der vorangegangenen Regulierungsperiode folgenden Kalenderjahres.</w:t>
      </w:r>
    </w:p>
    <w:p>
      <w:r>
        <w:t xml:space="preserve">(2) Eine Regulierungsperiode dauert fünf Jahre.</w:t>
      </w:r>
    </w:p>
    <w:p>
      <w:r>
        <w:rPr>
          <w:color w:val="555555"/>
          <w:sz w:val="17"/>
        </w:rPr>
        <w:t xml:space="preserve">Zitiervorschlag: § 3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