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ARegV — Datenerhebung</w:t>
      </w:r>
    </w:p>
    <w:p>
      <w:r>
        <w:rPr>
          <w:color w:val="555555"/>
          <w:sz w:val="18"/>
        </w:rPr>
        <w:t xml:space="preserve">Anreizregulierungsverordnung</w:t>
      </w:r>
    </w:p>
    <w:p>
      <w:r>
        <w:rPr>
          <w:color w:val="555555"/>
          <w:sz w:val="18"/>
        </w:rPr>
        <w:t xml:space="preserve">Stand: 04.01.2024 (konsolidierte Textfassung, kein amtliches Inkrafttretensdatum)</w:t>
      </w:r>
    </w:p>
    <w:p>
      <w:r>
        <w:t xml:space="preserve">Die Regulierungsbehörde ermittelt die zur Bestimmung der Erlösobergrenzen nach Teil 2 und 3 notwendigen Tatsachen. Hierzu erhebt sie bei den Netzbetreibern die notwendigen Daten</w:t>
      </w:r>
    </w:p>
    <w:p>
      <w:pPr>
        <w:ind w:left="420"/>
      </w:pPr>
      <w:r>
        <w:t xml:space="preserve">1. zur Durchführung der Bestimmung des Ausgangsniveaus der Erlösobergrenze und des Kapitalkostenabzugs nach § 6,</w:t>
      </w:r>
    </w:p>
    <w:p>
      <w:pPr>
        <w:ind w:left="420"/>
      </w:pPr>
      <w:r>
        <w:t xml:space="preserve">2. zur Ermittlung des generellen sektoralen Produktivitätsfaktors nach § 9,</w:t>
      </w:r>
    </w:p>
    <w:p>
      <w:pPr>
        <w:ind w:left="420"/>
      </w:pPr>
      <w:r>
        <w:t xml:space="preserve">3. zur Ermittlung der Effizienzwerte nach den §§ 12 bis 14,</w:t>
      </w:r>
    </w:p>
    <w:p>
      <w:pPr>
        <w:ind w:left="420"/>
      </w:pPr>
      <w:r>
        <w:t xml:space="preserve">4. zur Bestimmung des Qualitätselements nach § 19 und</w:t>
      </w:r>
    </w:p>
    <w:p>
      <w:pPr>
        <w:ind w:left="420"/>
      </w:pPr>
      <w:r>
        <w:t xml:space="preserve">5. zur Durchführung der Effizienzvergleiche und relativen Referenznetzanalysen für Betreiber von Übertragungs- und Fernleitungsnetzen nach § 22;</w:t>
      </w:r>
    </w:p>
    <w:p>
      <w:r>
        <w:t xml:space="preserve">die Netzbetreiber sind insoweit zur Auskunft verpflichtet. Im Übrigen ermittelt sie insbesondere die erforderlichen Tatsachen</w:t>
      </w:r>
    </w:p>
    <w:p>
      <w:pPr>
        <w:ind w:left="420"/>
      </w:pPr>
      <w:r>
        <w:t xml:space="preserve">1. zur Anpassung der Erlösobergrenze nach § 4 Abs. 4,</w:t>
      </w:r>
    </w:p>
    <w:p>
      <w:pPr>
        <w:ind w:left="420"/>
      </w:pPr>
      <w:r>
        <w:t xml:space="preserve">2. zur Ausgestaltung des Erweiterungsfaktors nach § 10,</w:t>
      </w:r>
    </w:p>
    <w:p>
      <w:pPr>
        <w:ind w:left="420"/>
      </w:pPr>
      <w:r>
        <w:t xml:space="preserve">3. zur Ermittlung der bereinigten Effizienzwerte nach § 15 und der individuellen Effizienzvorgaben nach § 16,</w:t>
      </w:r>
    </w:p>
    <w:p>
      <w:pPr>
        <w:ind w:left="420"/>
      </w:pPr>
      <w:r>
        <w:t xml:space="preserve">4. zu den Anforderungen an die Berichte nach § 21,</w:t>
      </w:r>
    </w:p>
    <w:p>
      <w:pPr>
        <w:ind w:left="420"/>
      </w:pPr>
      <w:r>
        <w:t xml:space="preserve">5. zur Genehmigung von Investitionsmaßnahmen nach § 23,</w:t>
      </w:r>
    </w:p>
    <w:p>
      <w:pPr>
        <w:ind w:left="420"/>
      </w:pPr>
      <w:r>
        <w:t xml:space="preserve">6. zur Festlegung nach § 32 Absatz 2 Satz 2 und</w:t>
      </w:r>
    </w:p>
    <w:p>
      <w:pPr>
        <w:ind w:left="420"/>
      </w:pPr>
      <w:r>
        <w:t xml:space="preserve">7. zur Durchführung der Aufgaben nach § 17 sowie zur Festlegung nach § 32 Absatz 1 Nummer 5a.</w:t>
      </w:r>
    </w:p>
    <w:p>
      <w:r>
        <w:rPr>
          <w:color w:val="555555"/>
          <w:sz w:val="17"/>
        </w:rPr>
        <w:t xml:space="preserve">Zitiervorschlag: § 27 ARegV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https://recht.nulegal.eu/gesetze/ARegV/27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