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ARegV — Bestimmung der Kosten zur Durchführung des Effizienzvergleichs</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Die im Rahmen des Effizienzvergleichs als Aufwandsparameter anzusetzenden Kosten werden nach folgenden Maßgaben ermittelt:</w:t>
      </w:r>
    </w:p>
    <w:p>
      <w:pPr>
        <w:ind w:left="420"/>
      </w:pPr>
      <w:r>
        <w:t xml:space="preserve">1. Die Gesamtkosten des Netzbetreibers werden nach Maßgabe der zur Bestimmung des Ausgangsniveaus anzuwendenden Kostenprüfung nach § 6 Absatz 1 und 2 ermittelt.</w:t>
      </w:r>
    </w:p>
    <w:p>
      <w:pPr>
        <w:ind w:left="420"/>
      </w:pPr>
      <w:r>
        <w:t xml:space="preserve">2. Von den so ermittelten Gesamtkosten sind die nach § 11 Abs. 2 dauerhaft nicht beeinflussbaren Kostenanteile abzuziehen.</w:t>
      </w:r>
    </w:p>
    <w:p>
      <w:pPr>
        <w:ind w:left="420"/>
      </w:pPr>
      <w:r>
        <w:t xml:space="preserve">3. Die Kapitalkosten zur Durchführung des Effizienzvergleichs sollen so bestimmt werden, dass ihre Vergleichbarkeit möglichst gewährleistet ist und Verzerrungen berücksichtigt werden, wie sie insbesondere durch unterschiedliche Altersstruktur der Anlagen, Abschreibungs- und Aktivierungspraktiken entstehen können; hierzu ist eine Vergleichbarkeitsrechnung zur Ermittlung von Kapitalkostenannuitäten nach Maßgabe des Absatzes 2 durchzuführen; dabei umfassen die Kapitalkosten die Kostenpositionen nach § 5 Abs. 2 sowie den §§ 6 und 7 der Stromnetzentgeltverordnung und § 5 Abs. 2 sowie den §§ 6 und 7 der Gasnetzentgeltverordnung.</w:t>
      </w:r>
    </w:p>
    <w:p>
      <w:r>
        <w:t xml:space="preserve">(2) Die Vergleichbarkeitsrechnung nach Absatz 1 Nr. 3 erfolgt auf der Grundlage der Tagesneuwerte des Anlagevermögens des Netzbetreibers. Für die Ermittlung von einheitlichen Nutzungsdauern für jede Anlagengruppe sind die unteren Werte der betriebsgewöhnlichen Nutzungsdauern in Anlage 1 der Gasnetzentgeltverordnung und Anlage 1 der Stromnetzentgeltverordnung zu verwenden. Der zu verwendende Zinssatz bestimmt sich als gewichteter Mittelwert aus Eigenkapitalzinssatz und Fremdkapitalzinssatz, wobei der Eigenkapitalzinssatz mit 40 Prozent und der Fremdkapitalzinssatz mit 60 Prozent zu gewichten ist. Von den 60 Prozent des Fremdkapitalzinssatzes entfallen 25 Prozentpunkte auf unverzinsliches Fremdkapital. Es sind die nach § 7 Abs. 6 der Gasnetzentgeltverordnung und § 7 Abs. 6 der Stromnetzentgeltverordnung für Neuanlagen geltenden Eigenkapitalzinssätze anzusetzen. Für das verzinsliche Fremdkapital richtet sich die Verzinsung nach dem auf die letzten zehn abgeschlossenen Kalenderjahre bezogenen Durchschnitt der von der Deutschen Bundesbank veröffentlichten Umlaufrendite festverzinslicher Wertpapiere inländischer Emittenten. Die Eigenkapitalzinssätze und der Fremdkapitalzinssatz sind um den auf die letzten zehn abgeschlossenen Kalenderjahre bezogenen Durchschnitt der Preisänderungsrate nach dem vom Statistischen Bundesamt veröffentlichten Verbraucherpreisgesamtindex zu ermäßigen.</w:t>
      </w:r>
    </w:p>
    <w:p>
      <w:r>
        <w:rPr>
          <w:color w:val="555555"/>
          <w:sz w:val="17"/>
        </w:rPr>
        <w:t xml:space="preserve">Zitiervorschlag: § 14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